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82BED" w14:textId="77777777" w:rsidR="00463D42" w:rsidRDefault="00D92FC6" w:rsidP="009D41AD">
      <w:pPr>
        <w:jc w:val="center"/>
        <w:rPr>
          <w:b/>
          <w:bCs/>
          <w:sz w:val="32"/>
          <w:szCs w:val="32"/>
        </w:rPr>
      </w:pPr>
      <w:r w:rsidRPr="00D92FC6">
        <w:rPr>
          <w:b/>
          <w:bCs/>
          <w:sz w:val="32"/>
          <w:szCs w:val="32"/>
        </w:rPr>
        <w:t>EVIDENCE BRIEFING ON RECENT RESEARCH</w:t>
      </w:r>
    </w:p>
    <w:p w14:paraId="7CE9C57D" w14:textId="77777777" w:rsidR="00463D42" w:rsidRPr="00D23B6B" w:rsidRDefault="00125AAC" w:rsidP="00387467">
      <w:pPr>
        <w:pStyle w:val="ListParagraph"/>
        <w:numPr>
          <w:ilvl w:val="0"/>
          <w:numId w:val="1"/>
        </w:numPr>
        <w:ind w:left="36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Chemoprevention</w:t>
      </w:r>
    </w:p>
    <w:p w14:paraId="2F4A3490" w14:textId="77777777" w:rsidR="00B63AB1" w:rsidRDefault="00125AAC" w:rsidP="00B63AB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Tamoxifen and </w:t>
      </w:r>
      <w:proofErr w:type="spellStart"/>
      <w:r>
        <w:rPr>
          <w:b/>
          <w:bCs/>
        </w:rPr>
        <w:t>raloxifene</w:t>
      </w:r>
      <w:proofErr w:type="spellEnd"/>
      <w:r>
        <w:rPr>
          <w:b/>
          <w:bCs/>
        </w:rPr>
        <w:t xml:space="preserve"> have recently been included within NICE guidelines for the management of familial breast cancer (CG164). </w:t>
      </w:r>
      <w:r w:rsidR="008F75EB">
        <w:rPr>
          <w:b/>
          <w:bCs/>
        </w:rPr>
        <w:t>U</w:t>
      </w:r>
      <w:r>
        <w:rPr>
          <w:b/>
          <w:bCs/>
        </w:rPr>
        <w:t>ptake of chemoprevention in this setting is low</w:t>
      </w:r>
      <w:r w:rsidR="006D0CCA">
        <w:rPr>
          <w:b/>
          <w:bCs/>
        </w:rPr>
        <w:t xml:space="preserve"> (&lt;10% in clinical settings)</w:t>
      </w:r>
      <w:r>
        <w:rPr>
          <w:b/>
          <w:bCs/>
        </w:rPr>
        <w:t xml:space="preserve">. </w:t>
      </w:r>
    </w:p>
    <w:p w14:paraId="4CCF3E5F" w14:textId="77777777" w:rsidR="00125AAC" w:rsidRDefault="00125AAC" w:rsidP="00B63AB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GPs awareness of the concept of chemoprevention is low: 5</w:t>
      </w:r>
      <w:r w:rsidR="006D0CCA">
        <w:rPr>
          <w:b/>
          <w:bCs/>
        </w:rPr>
        <w:t>2</w:t>
      </w:r>
      <w:r>
        <w:rPr>
          <w:b/>
          <w:bCs/>
        </w:rPr>
        <w:t xml:space="preserve">% of a national sample were aware tamoxifen could be used for prevention in high risk women; </w:t>
      </w:r>
      <w:r w:rsidR="006D0CCA">
        <w:rPr>
          <w:b/>
          <w:bCs/>
        </w:rPr>
        <w:t>47</w:t>
      </w:r>
      <w:r>
        <w:rPr>
          <w:b/>
          <w:bCs/>
        </w:rPr>
        <w:t xml:space="preserve">% </w:t>
      </w:r>
      <w:r w:rsidR="006D0CCA">
        <w:rPr>
          <w:b/>
          <w:bCs/>
        </w:rPr>
        <w:t xml:space="preserve">were </w:t>
      </w:r>
      <w:r>
        <w:rPr>
          <w:b/>
          <w:bCs/>
        </w:rPr>
        <w:t xml:space="preserve">aware aspirin could be used for </w:t>
      </w:r>
      <w:r w:rsidR="006D0CCA">
        <w:rPr>
          <w:b/>
          <w:bCs/>
        </w:rPr>
        <w:t>patients</w:t>
      </w:r>
      <w:r>
        <w:rPr>
          <w:b/>
          <w:bCs/>
        </w:rPr>
        <w:t xml:space="preserve"> with Lynch Syndrome.</w:t>
      </w:r>
    </w:p>
    <w:p w14:paraId="459895FB" w14:textId="77777777" w:rsidR="006D0CCA" w:rsidRDefault="00123E03" w:rsidP="00B63AB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National survey data indicate </w:t>
      </w:r>
      <w:r w:rsidR="006D0CCA">
        <w:rPr>
          <w:b/>
          <w:bCs/>
        </w:rPr>
        <w:t xml:space="preserve">GPs may be unwilling to prescribe tamoxifen for primary prevention, particularly if they are asked to initiate the prescription rather than continue </w:t>
      </w:r>
      <w:r w:rsidR="008F75EB">
        <w:rPr>
          <w:b/>
          <w:bCs/>
        </w:rPr>
        <w:t>it</w:t>
      </w:r>
      <w:r w:rsidR="006D0CCA">
        <w:rPr>
          <w:b/>
          <w:bCs/>
        </w:rPr>
        <w:t xml:space="preserve"> from secondary care. </w:t>
      </w:r>
    </w:p>
    <w:p w14:paraId="09BEA55D" w14:textId="77777777" w:rsidR="006D0CCA" w:rsidRDefault="006D0CCA" w:rsidP="00B63AB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A large aspirin dose-inferiority trial is underway to assess the optimal therapy for Lynch Syndrome patients. </w:t>
      </w:r>
      <w:r w:rsidR="00123E03">
        <w:rPr>
          <w:b/>
          <w:bCs/>
        </w:rPr>
        <w:t xml:space="preserve">National survey data indicate </w:t>
      </w:r>
      <w:r>
        <w:rPr>
          <w:b/>
          <w:bCs/>
        </w:rPr>
        <w:t xml:space="preserve">GPs may be reluctant to prescribe aspirin at the highest dose being tested (600mg). </w:t>
      </w:r>
    </w:p>
    <w:p w14:paraId="71DA98D4" w14:textId="77777777" w:rsidR="00125AAC" w:rsidRDefault="006D0CCA" w:rsidP="00B63AB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 number of barriers to prescribing chemoprevention have been identified</w:t>
      </w:r>
      <w:r w:rsidR="008F75EB">
        <w:rPr>
          <w:b/>
          <w:bCs/>
        </w:rPr>
        <w:t xml:space="preserve">, and the majority of these can be addressed through changes in healthcare policy. </w:t>
      </w:r>
    </w:p>
    <w:p w14:paraId="6A25F81F" w14:textId="77777777" w:rsidR="00D23B6B" w:rsidRPr="00D23B6B" w:rsidRDefault="00D23B6B" w:rsidP="00D23B6B">
      <w:pPr>
        <w:rPr>
          <w:b/>
          <w:bCs/>
          <w:i/>
          <w:iCs/>
        </w:rPr>
      </w:pPr>
      <w:r w:rsidRPr="00D23B6B">
        <w:rPr>
          <w:b/>
          <w:bCs/>
          <w:i/>
          <w:iCs/>
        </w:rPr>
        <w:t>KEY PRIORITIES:</w:t>
      </w:r>
    </w:p>
    <w:p w14:paraId="4DACA7E2" w14:textId="77777777" w:rsidR="008F75EB" w:rsidRDefault="008F75EB" w:rsidP="00D23B6B">
      <w:pPr>
        <w:pStyle w:val="ListParagraph"/>
        <w:numPr>
          <w:ilvl w:val="0"/>
          <w:numId w:val="4"/>
        </w:numPr>
        <w:rPr>
          <w:i/>
          <w:iCs/>
        </w:rPr>
      </w:pPr>
      <w:r>
        <w:rPr>
          <w:i/>
          <w:iCs/>
        </w:rPr>
        <w:t>Increase GP awareness and access to information regarding the benefits and harms of chemoprevention using tamoxifen and aspirin (e.g. standardised pro-forma letters for secondary care clinicians referring patients to primary care)</w:t>
      </w:r>
    </w:p>
    <w:p w14:paraId="73B17525" w14:textId="77777777" w:rsidR="00D23B6B" w:rsidRDefault="008F75EB" w:rsidP="00D23B6B">
      <w:pPr>
        <w:pStyle w:val="ListParagraph"/>
        <w:numPr>
          <w:ilvl w:val="0"/>
          <w:numId w:val="4"/>
        </w:numPr>
        <w:rPr>
          <w:i/>
          <w:iCs/>
        </w:rPr>
      </w:pPr>
      <w:r>
        <w:rPr>
          <w:i/>
          <w:iCs/>
        </w:rPr>
        <w:t xml:space="preserve">Develop national guidelines for Lynch Syndrome management (Cancer Strategy for England) </w:t>
      </w:r>
    </w:p>
    <w:p w14:paraId="79E809CB" w14:textId="77777777" w:rsidR="008F75EB" w:rsidRDefault="008F75EB" w:rsidP="00D23B6B">
      <w:pPr>
        <w:pStyle w:val="ListParagraph"/>
        <w:numPr>
          <w:ilvl w:val="0"/>
          <w:numId w:val="4"/>
        </w:numPr>
        <w:rPr>
          <w:i/>
          <w:iCs/>
        </w:rPr>
      </w:pPr>
      <w:r>
        <w:rPr>
          <w:i/>
          <w:iCs/>
        </w:rPr>
        <w:t>Implement shared care agreements between primary and secondary care to facilitate prescribing of tamoxifen and aspirin (e.g. Manchester model)</w:t>
      </w:r>
    </w:p>
    <w:p w14:paraId="55CCAC9A" w14:textId="77777777" w:rsidR="008F75EB" w:rsidRDefault="008F75EB" w:rsidP="00D23B6B">
      <w:pPr>
        <w:pStyle w:val="ListParagraph"/>
        <w:numPr>
          <w:ilvl w:val="0"/>
          <w:numId w:val="4"/>
        </w:numPr>
        <w:rPr>
          <w:i/>
          <w:iCs/>
        </w:rPr>
      </w:pPr>
      <w:r>
        <w:rPr>
          <w:i/>
          <w:iCs/>
        </w:rPr>
        <w:t>List primary prevention as an indication for tamoxifen and aspirin in the British National Formulary.</w:t>
      </w:r>
    </w:p>
    <w:p w14:paraId="1A8AC4E2" w14:textId="68E3796B" w:rsidR="00125AAC" w:rsidRDefault="00125AAC" w:rsidP="00D45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0"/>
        <w:rPr>
          <w:i/>
          <w:iCs/>
          <w:sz w:val="18"/>
          <w:szCs w:val="18"/>
        </w:rPr>
      </w:pPr>
      <w:r w:rsidRPr="00125AAC">
        <w:rPr>
          <w:i/>
          <w:iCs/>
          <w:sz w:val="18"/>
          <w:szCs w:val="18"/>
        </w:rPr>
        <w:t xml:space="preserve">Smith SG, Sestak I, Forster A, Partridge A, Side L, Wolf MS, Horne R, Wardle J, </w:t>
      </w:r>
      <w:proofErr w:type="spellStart"/>
      <w:r w:rsidRPr="00125AAC">
        <w:rPr>
          <w:i/>
          <w:iCs/>
          <w:sz w:val="18"/>
          <w:szCs w:val="18"/>
        </w:rPr>
        <w:t>Cuzick</w:t>
      </w:r>
      <w:proofErr w:type="spellEnd"/>
      <w:r w:rsidRPr="00125AAC">
        <w:rPr>
          <w:i/>
          <w:iCs/>
          <w:sz w:val="18"/>
          <w:szCs w:val="18"/>
        </w:rPr>
        <w:t xml:space="preserve"> J. (2016) Factors affecting uptake and adherence to breast cancer chemoprevention: A systematic review and meta-analysis. Annals of Oncology. 27, 575-590.</w:t>
      </w:r>
      <w:r w:rsidR="00422B44" w:rsidRPr="00422B44">
        <w:t xml:space="preserve"> </w:t>
      </w:r>
      <w:hyperlink r:id="rId8" w:history="1">
        <w:r w:rsidR="00422B44" w:rsidRPr="00BB4D10">
          <w:rPr>
            <w:rStyle w:val="Hyperlink"/>
            <w:i/>
            <w:iCs/>
            <w:sz w:val="18"/>
            <w:szCs w:val="18"/>
          </w:rPr>
          <w:t>https://doi.org/10.1093/annonc/mdv590</w:t>
        </w:r>
      </w:hyperlink>
      <w:r w:rsidR="00422B44">
        <w:rPr>
          <w:i/>
          <w:iCs/>
          <w:sz w:val="18"/>
          <w:szCs w:val="18"/>
        </w:rPr>
        <w:t xml:space="preserve"> </w:t>
      </w:r>
    </w:p>
    <w:p w14:paraId="58AFC67A" w14:textId="77777777" w:rsidR="00125AAC" w:rsidRDefault="00125AAC" w:rsidP="00D45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0"/>
        <w:rPr>
          <w:i/>
          <w:iCs/>
          <w:sz w:val="18"/>
          <w:szCs w:val="18"/>
        </w:rPr>
      </w:pPr>
      <w:r w:rsidRPr="00125AAC">
        <w:rPr>
          <w:i/>
          <w:iCs/>
          <w:sz w:val="18"/>
          <w:szCs w:val="18"/>
        </w:rPr>
        <w:t xml:space="preserve">Smith SG, Foy R, McGowan JA, Kobayashi L, Brown K, </w:t>
      </w:r>
      <w:proofErr w:type="gramStart"/>
      <w:r w:rsidRPr="00125AAC">
        <w:rPr>
          <w:i/>
          <w:iCs/>
          <w:sz w:val="18"/>
          <w:szCs w:val="18"/>
        </w:rPr>
        <w:t>Side</w:t>
      </w:r>
      <w:proofErr w:type="gramEnd"/>
      <w:r w:rsidRPr="00125AAC">
        <w:rPr>
          <w:i/>
          <w:iCs/>
          <w:sz w:val="18"/>
          <w:szCs w:val="18"/>
        </w:rPr>
        <w:t xml:space="preserve"> L, </w:t>
      </w:r>
      <w:proofErr w:type="spellStart"/>
      <w:r w:rsidRPr="00125AAC">
        <w:rPr>
          <w:i/>
          <w:iCs/>
          <w:sz w:val="18"/>
          <w:szCs w:val="18"/>
        </w:rPr>
        <w:t>Cuzick</w:t>
      </w:r>
      <w:proofErr w:type="spellEnd"/>
      <w:r w:rsidRPr="00125AAC">
        <w:rPr>
          <w:i/>
          <w:iCs/>
          <w:sz w:val="18"/>
          <w:szCs w:val="18"/>
        </w:rPr>
        <w:t xml:space="preserve"> J (</w:t>
      </w:r>
      <w:r>
        <w:rPr>
          <w:i/>
          <w:iCs/>
          <w:sz w:val="18"/>
          <w:szCs w:val="18"/>
        </w:rPr>
        <w:t>accepted</w:t>
      </w:r>
      <w:r w:rsidRPr="00125AAC">
        <w:rPr>
          <w:i/>
          <w:iCs/>
          <w:sz w:val="18"/>
          <w:szCs w:val="18"/>
        </w:rPr>
        <w:t>) General Practitioner attitudes towards prescribing tamoxifen for the primary prevention of breast cancer: findings from a vignette study.</w:t>
      </w:r>
      <w:r>
        <w:rPr>
          <w:i/>
          <w:iCs/>
          <w:sz w:val="18"/>
          <w:szCs w:val="18"/>
        </w:rPr>
        <w:t xml:space="preserve"> British Journal of General Practice. </w:t>
      </w:r>
    </w:p>
    <w:p w14:paraId="6A5E0EE2" w14:textId="77777777" w:rsidR="00125AAC" w:rsidRDefault="00125AAC" w:rsidP="00D45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0"/>
        <w:rPr>
          <w:i/>
          <w:iCs/>
          <w:sz w:val="18"/>
          <w:szCs w:val="18"/>
        </w:rPr>
      </w:pPr>
      <w:r w:rsidRPr="00125AAC">
        <w:rPr>
          <w:i/>
          <w:iCs/>
          <w:sz w:val="18"/>
          <w:szCs w:val="18"/>
        </w:rPr>
        <w:t xml:space="preserve">Smith SG, Foy R, McGowan JA, Kobayashi L, Burn J, Brown K, Side L, </w:t>
      </w:r>
      <w:proofErr w:type="spellStart"/>
      <w:r w:rsidRPr="00125AAC">
        <w:rPr>
          <w:i/>
          <w:iCs/>
          <w:sz w:val="18"/>
          <w:szCs w:val="18"/>
        </w:rPr>
        <w:t>Cuzick</w:t>
      </w:r>
      <w:proofErr w:type="spellEnd"/>
      <w:r w:rsidRPr="00125AAC">
        <w:rPr>
          <w:i/>
          <w:iCs/>
          <w:sz w:val="18"/>
          <w:szCs w:val="18"/>
        </w:rPr>
        <w:t xml:space="preserve"> J. (submitted) General practitioner attitudes towards prescribing aspirin to carriers of Lynch Syndrome: findings from a national survey.</w:t>
      </w:r>
    </w:p>
    <w:p w14:paraId="356DE8C4" w14:textId="77777777" w:rsidR="00125AAC" w:rsidRDefault="00125AAC" w:rsidP="00D45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Smith SG, McGowan JA, Kobayashi LC, Foy R, Brown K, Side L, </w:t>
      </w:r>
      <w:proofErr w:type="spellStart"/>
      <w:r>
        <w:rPr>
          <w:i/>
          <w:iCs/>
          <w:sz w:val="18"/>
          <w:szCs w:val="18"/>
        </w:rPr>
        <w:t>Cuzick</w:t>
      </w:r>
      <w:proofErr w:type="spellEnd"/>
      <w:r>
        <w:rPr>
          <w:i/>
          <w:iCs/>
          <w:sz w:val="18"/>
          <w:szCs w:val="18"/>
        </w:rPr>
        <w:t xml:space="preserve"> J. Access to chemoprevention medication in the NHS. Policy report to be released by Cancer Research UK (February, 2017). </w:t>
      </w:r>
    </w:p>
    <w:p w14:paraId="548779EC" w14:textId="29CE0A66" w:rsidR="00125AAC" w:rsidRDefault="008F75EB" w:rsidP="00D45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0"/>
        <w:rPr>
          <w:i/>
          <w:iCs/>
          <w:sz w:val="18"/>
          <w:szCs w:val="18"/>
        </w:rPr>
      </w:pPr>
      <w:r w:rsidRPr="008F75EB">
        <w:rPr>
          <w:i/>
          <w:iCs/>
          <w:sz w:val="18"/>
          <w:szCs w:val="18"/>
        </w:rPr>
        <w:t xml:space="preserve">Smith SG, Side L, </w:t>
      </w:r>
      <w:proofErr w:type="spellStart"/>
      <w:r w:rsidRPr="008F75EB">
        <w:rPr>
          <w:i/>
          <w:iCs/>
          <w:sz w:val="18"/>
          <w:szCs w:val="18"/>
        </w:rPr>
        <w:t>Meisel</w:t>
      </w:r>
      <w:proofErr w:type="spellEnd"/>
      <w:r w:rsidRPr="008F75EB">
        <w:rPr>
          <w:i/>
          <w:iCs/>
          <w:sz w:val="18"/>
          <w:szCs w:val="18"/>
        </w:rPr>
        <w:t xml:space="preserve"> SF, Horne R, </w:t>
      </w:r>
      <w:proofErr w:type="spellStart"/>
      <w:r w:rsidRPr="008F75EB">
        <w:rPr>
          <w:i/>
          <w:iCs/>
          <w:sz w:val="18"/>
          <w:szCs w:val="18"/>
        </w:rPr>
        <w:t>Cuzick</w:t>
      </w:r>
      <w:proofErr w:type="spellEnd"/>
      <w:r w:rsidRPr="008F75EB">
        <w:rPr>
          <w:i/>
          <w:iCs/>
          <w:sz w:val="18"/>
          <w:szCs w:val="18"/>
        </w:rPr>
        <w:t xml:space="preserve"> J, Wardle J. (2016) Clinician-reported barriers to implementing breast cancer chemoprevention in the UK: A qualitative investigation. Publi</w:t>
      </w:r>
      <w:bookmarkStart w:id="0" w:name="_GoBack"/>
      <w:bookmarkEnd w:id="0"/>
      <w:r w:rsidRPr="008F75EB">
        <w:rPr>
          <w:i/>
          <w:iCs/>
          <w:sz w:val="18"/>
          <w:szCs w:val="18"/>
        </w:rPr>
        <w:t>c Health Genomics. 19, 239-249.</w:t>
      </w:r>
      <w:r w:rsidR="00D45BCB">
        <w:rPr>
          <w:i/>
          <w:iCs/>
          <w:sz w:val="18"/>
          <w:szCs w:val="18"/>
        </w:rPr>
        <w:t xml:space="preserve"> </w:t>
      </w:r>
      <w:hyperlink r:id="rId9" w:history="1">
        <w:r w:rsidR="00D45BCB" w:rsidRPr="00BB4D10">
          <w:rPr>
            <w:rStyle w:val="Hyperlink"/>
            <w:i/>
            <w:iCs/>
            <w:sz w:val="18"/>
            <w:szCs w:val="18"/>
          </w:rPr>
          <w:t>https://doi.org/10.1159/000447552</w:t>
        </w:r>
      </w:hyperlink>
      <w:r w:rsidR="00D45BCB">
        <w:rPr>
          <w:i/>
          <w:iCs/>
          <w:sz w:val="18"/>
          <w:szCs w:val="18"/>
        </w:rPr>
        <w:t xml:space="preserve"> </w:t>
      </w:r>
    </w:p>
    <w:p w14:paraId="559C0241" w14:textId="77777777" w:rsidR="005F3C96" w:rsidRPr="00D23B6B" w:rsidRDefault="005F3C96" w:rsidP="005F3C96">
      <w:pPr>
        <w:pStyle w:val="ListParagraph"/>
        <w:numPr>
          <w:ilvl w:val="0"/>
          <w:numId w:val="1"/>
        </w:numPr>
        <w:ind w:left="36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Screening</w:t>
      </w:r>
    </w:p>
    <w:p w14:paraId="5D0F5FB0" w14:textId="77777777" w:rsidR="005F3C96" w:rsidRDefault="005F3C96" w:rsidP="005F3C96">
      <w:pPr>
        <w:pStyle w:val="ListParagraph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Age-related population screening programmes exist for colorectal, breast and cervical cancer</w:t>
      </w:r>
    </w:p>
    <w:p w14:paraId="31D6C83E" w14:textId="77777777" w:rsidR="005F3C96" w:rsidRDefault="005F3C96" w:rsidP="005F3C96">
      <w:pPr>
        <w:pStyle w:val="ListParagraph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If the programmes work as well as they possibly could (full attendance, tests accurate, no-one lost) they account for 10-15% of all cancer diagnoses. In reality they only account for ~8%.</w:t>
      </w:r>
    </w:p>
    <w:p w14:paraId="17CCBC2E" w14:textId="77777777" w:rsidR="005F3C96" w:rsidRPr="007920B3" w:rsidRDefault="005F3C96" w:rsidP="005F3C96">
      <w:pPr>
        <w:pStyle w:val="ListParagraph"/>
        <w:numPr>
          <w:ilvl w:val="0"/>
          <w:numId w:val="13"/>
        </w:num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7920B3">
        <w:rPr>
          <w:b/>
          <w:bCs/>
        </w:rPr>
        <w:t xml:space="preserve">Uptake of screening programme is variable (inverse care law). Interventions from general practice can have a positive influence over screening uptake, including </w:t>
      </w:r>
      <w:r>
        <w:rPr>
          <w:b/>
          <w:bCs/>
        </w:rPr>
        <w:t xml:space="preserve">primary care endorsement and an enhanced reminder letter. </w:t>
      </w:r>
    </w:p>
    <w:p w14:paraId="245BF965" w14:textId="77777777" w:rsidR="005F3C96" w:rsidRDefault="005F3C96" w:rsidP="005F3C96">
      <w:pPr>
        <w:pStyle w:val="ListParagraph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Routine screening for lung cancer with low dose CT in high-risk patients is </w:t>
      </w:r>
      <w:r w:rsidRPr="00317C04">
        <w:rPr>
          <w:b/>
          <w:bCs/>
          <w:u w:val="single"/>
        </w:rPr>
        <w:t>not</w:t>
      </w:r>
      <w:r>
        <w:rPr>
          <w:b/>
          <w:bCs/>
        </w:rPr>
        <w:t xml:space="preserve"> currently recommended (however there is a Yorkshire Lung Cancer Screening Trial opening next year)</w:t>
      </w:r>
    </w:p>
    <w:p w14:paraId="777B5282" w14:textId="77777777" w:rsidR="005F3C96" w:rsidRPr="007920B3" w:rsidRDefault="005F3C96" w:rsidP="005F3C96">
      <w:pPr>
        <w:pStyle w:val="ListParagraph"/>
        <w:numPr>
          <w:ilvl w:val="0"/>
          <w:numId w:val="13"/>
        </w:numPr>
        <w:rPr>
          <w:b/>
          <w:bCs/>
        </w:rPr>
      </w:pPr>
      <w:r w:rsidRPr="00721CEE">
        <w:rPr>
          <w:b/>
          <w:bCs/>
        </w:rPr>
        <w:t xml:space="preserve">Routine screening for ovarian cancer is </w:t>
      </w:r>
      <w:r w:rsidRPr="00721CEE">
        <w:rPr>
          <w:b/>
          <w:bCs/>
          <w:u w:val="single"/>
        </w:rPr>
        <w:t>not</w:t>
      </w:r>
      <w:r w:rsidRPr="00721CEE">
        <w:rPr>
          <w:b/>
          <w:bCs/>
        </w:rPr>
        <w:t xml:space="preserve"> currently recommended (the UKTOCS study needs more years of follow-up to reach a definitive answer regarding efficacy and cost-effectiveness)</w:t>
      </w:r>
    </w:p>
    <w:p w14:paraId="5119359E" w14:textId="77777777" w:rsidR="005F3C96" w:rsidRPr="00D23B6B" w:rsidRDefault="005F3C96" w:rsidP="005F3C96">
      <w:pPr>
        <w:rPr>
          <w:b/>
          <w:bCs/>
          <w:i/>
          <w:iCs/>
        </w:rPr>
      </w:pPr>
      <w:r>
        <w:rPr>
          <w:b/>
          <w:bCs/>
          <w:i/>
          <w:iCs/>
        </w:rPr>
        <w:br/>
      </w:r>
      <w:r w:rsidRPr="00D23B6B">
        <w:rPr>
          <w:b/>
          <w:bCs/>
          <w:i/>
          <w:iCs/>
        </w:rPr>
        <w:t>KEY PRIORITIES:</w:t>
      </w:r>
    </w:p>
    <w:p w14:paraId="4F2AD9EC" w14:textId="77777777" w:rsidR="005F3C96" w:rsidRPr="00D81692" w:rsidRDefault="005F3C96" w:rsidP="005F3C96">
      <w:pPr>
        <w:pStyle w:val="ListParagraph"/>
        <w:numPr>
          <w:ilvl w:val="0"/>
          <w:numId w:val="4"/>
        </w:numPr>
        <w:rPr>
          <w:i/>
          <w:iCs/>
        </w:rPr>
      </w:pPr>
      <w:r>
        <w:rPr>
          <w:i/>
          <w:iCs/>
        </w:rPr>
        <w:t xml:space="preserve">Negotiate with local bowel cancer screening hub regarding GP endorsement of </w:t>
      </w:r>
      <w:proofErr w:type="spellStart"/>
      <w:r>
        <w:rPr>
          <w:i/>
          <w:iCs/>
        </w:rPr>
        <w:t>FOBt</w:t>
      </w:r>
      <w:proofErr w:type="spellEnd"/>
      <w:r>
        <w:rPr>
          <w:i/>
          <w:iCs/>
        </w:rPr>
        <w:t xml:space="preserve"> invitation letter</w:t>
      </w:r>
      <w:r w:rsidRPr="00D81692">
        <w:rPr>
          <w:i/>
          <w:iCs/>
        </w:rPr>
        <w:t>s</w:t>
      </w:r>
    </w:p>
    <w:p w14:paraId="39F6FF50" w14:textId="77777777" w:rsidR="005F3C96" w:rsidRPr="007920B3" w:rsidRDefault="005F3C96" w:rsidP="005F3C96">
      <w:pPr>
        <w:pStyle w:val="ListParagraph"/>
        <w:numPr>
          <w:ilvl w:val="0"/>
          <w:numId w:val="4"/>
        </w:numPr>
        <w:rPr>
          <w:i/>
          <w:iCs/>
        </w:rPr>
      </w:pPr>
      <w:r>
        <w:rPr>
          <w:i/>
          <w:lang w:val="en"/>
        </w:rPr>
        <w:t>Encourage participation in the upcoming lung cancer screening trial</w:t>
      </w:r>
    </w:p>
    <w:p w14:paraId="53AD6BF7" w14:textId="77777777" w:rsidR="005F3C96" w:rsidRPr="00012E9F" w:rsidRDefault="005F3C96" w:rsidP="005F3C96">
      <w:pPr>
        <w:pStyle w:val="ListParagraph"/>
        <w:numPr>
          <w:ilvl w:val="0"/>
          <w:numId w:val="4"/>
        </w:numPr>
      </w:pPr>
      <w:r>
        <w:rPr>
          <w:i/>
          <w:iCs/>
        </w:rPr>
        <w:t xml:space="preserve">Promote informed uptake of cancer screening, provide accurate information and maintain involvement with follow-up of individuals who tested positive. </w:t>
      </w:r>
    </w:p>
    <w:p w14:paraId="3F13BCA5" w14:textId="77777777" w:rsidR="005F3C96" w:rsidRPr="007920B3" w:rsidRDefault="005F3C96" w:rsidP="005F3C96">
      <w:pPr>
        <w:pStyle w:val="ListParagraph"/>
        <w:ind w:left="360"/>
        <w:rPr>
          <w:i/>
          <w:iCs/>
        </w:rPr>
      </w:pPr>
    </w:p>
    <w:p w14:paraId="7338DE94" w14:textId="0C71715F" w:rsidR="005F3C96" w:rsidRPr="00A02080" w:rsidRDefault="005F3C96" w:rsidP="006E05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b/>
          <w:bCs/>
          <w:i/>
          <w:iCs/>
          <w:sz w:val="18"/>
          <w:szCs w:val="18"/>
        </w:rPr>
      </w:pPr>
      <w:r w:rsidRPr="00012E9F">
        <w:rPr>
          <w:bCs/>
          <w:i/>
          <w:iCs/>
          <w:sz w:val="18"/>
          <w:szCs w:val="18"/>
        </w:rPr>
        <w:t>Jacobs IJ et al. Ovarian cancer screening and mortality in the UK Collaborative Trial of Ovarian Cancer Screening (UKCTOCS): a randomised controlled trial. Lancet 2016; 387: 945–56</w:t>
      </w:r>
      <w:r w:rsidR="00A02080">
        <w:rPr>
          <w:bCs/>
          <w:i/>
          <w:iCs/>
          <w:sz w:val="18"/>
          <w:szCs w:val="18"/>
        </w:rPr>
        <w:t xml:space="preserve"> </w:t>
      </w:r>
      <w:hyperlink r:id="rId10" w:history="1">
        <w:r w:rsidR="00A02080" w:rsidRPr="00BB4D10">
          <w:rPr>
            <w:rStyle w:val="Hyperlink"/>
            <w:bCs/>
            <w:i/>
            <w:iCs/>
            <w:sz w:val="18"/>
            <w:szCs w:val="18"/>
          </w:rPr>
          <w:t>http://dx.doi.org/10.1016/</w:t>
        </w:r>
      </w:hyperlink>
      <w:r w:rsidR="00A02080">
        <w:rPr>
          <w:bCs/>
          <w:i/>
          <w:iCs/>
          <w:sz w:val="18"/>
          <w:szCs w:val="18"/>
        </w:rPr>
        <w:t xml:space="preserve"> </w:t>
      </w:r>
    </w:p>
    <w:p w14:paraId="67BFCF65" w14:textId="77777777" w:rsidR="005F3C96" w:rsidRPr="00012E9F" w:rsidRDefault="005F3C96" w:rsidP="006E05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bCs/>
          <w:i/>
          <w:iCs/>
          <w:sz w:val="18"/>
          <w:szCs w:val="18"/>
        </w:rPr>
      </w:pPr>
    </w:p>
    <w:p w14:paraId="44844ACE" w14:textId="6DE0EC7A" w:rsidR="005F3C96" w:rsidRPr="00012E9F" w:rsidRDefault="005F3C96" w:rsidP="006E05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bCs/>
          <w:i/>
          <w:iCs/>
          <w:sz w:val="18"/>
          <w:szCs w:val="18"/>
        </w:rPr>
      </w:pPr>
      <w:r w:rsidRPr="00012E9F">
        <w:rPr>
          <w:bCs/>
          <w:i/>
          <w:iCs/>
          <w:sz w:val="18"/>
          <w:szCs w:val="18"/>
        </w:rPr>
        <w:t xml:space="preserve">Rubin G, </w:t>
      </w:r>
      <w:proofErr w:type="spellStart"/>
      <w:r w:rsidRPr="00012E9F">
        <w:rPr>
          <w:bCs/>
          <w:i/>
          <w:iCs/>
          <w:sz w:val="18"/>
          <w:szCs w:val="18"/>
        </w:rPr>
        <w:t>Berensen</w:t>
      </w:r>
      <w:proofErr w:type="spellEnd"/>
      <w:r w:rsidRPr="00012E9F">
        <w:rPr>
          <w:bCs/>
          <w:i/>
          <w:iCs/>
          <w:sz w:val="18"/>
          <w:szCs w:val="18"/>
        </w:rPr>
        <w:t xml:space="preserve"> A, Crawford SM et al (including Neal RD). The expanding role of primary care in cancer control. Lancet Oncology 2015</w:t>
      </w:r>
      <w:proofErr w:type="gramStart"/>
      <w:r w:rsidRPr="00012E9F">
        <w:rPr>
          <w:bCs/>
          <w:i/>
          <w:iCs/>
          <w:sz w:val="18"/>
          <w:szCs w:val="18"/>
        </w:rPr>
        <w:t>;16:1231</w:t>
      </w:r>
      <w:proofErr w:type="gramEnd"/>
      <w:r w:rsidRPr="00012E9F">
        <w:rPr>
          <w:bCs/>
          <w:i/>
          <w:iCs/>
          <w:sz w:val="18"/>
          <w:szCs w:val="18"/>
        </w:rPr>
        <w:t>–72</w:t>
      </w:r>
      <w:r w:rsidR="00A02080">
        <w:rPr>
          <w:bCs/>
          <w:i/>
          <w:iCs/>
          <w:sz w:val="18"/>
          <w:szCs w:val="18"/>
        </w:rPr>
        <w:t xml:space="preserve"> </w:t>
      </w:r>
      <w:hyperlink r:id="rId11" w:history="1">
        <w:r w:rsidR="00A02080" w:rsidRPr="00BB4D10">
          <w:rPr>
            <w:rStyle w:val="Hyperlink"/>
            <w:bCs/>
            <w:i/>
            <w:iCs/>
            <w:sz w:val="18"/>
            <w:szCs w:val="18"/>
          </w:rPr>
          <w:t>http://dx.doi.org/10.1016/S1470-2045(15)00205-3</w:t>
        </w:r>
      </w:hyperlink>
      <w:r w:rsidR="00A02080">
        <w:rPr>
          <w:bCs/>
          <w:i/>
          <w:iCs/>
          <w:sz w:val="18"/>
          <w:szCs w:val="18"/>
        </w:rPr>
        <w:t xml:space="preserve"> </w:t>
      </w:r>
    </w:p>
    <w:p w14:paraId="22369701" w14:textId="77777777" w:rsidR="005F3C96" w:rsidRPr="00012E9F" w:rsidRDefault="005F3C96" w:rsidP="006E05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bCs/>
          <w:i/>
          <w:iCs/>
          <w:sz w:val="18"/>
          <w:szCs w:val="18"/>
        </w:rPr>
      </w:pPr>
    </w:p>
    <w:p w14:paraId="234BD6DC" w14:textId="523CEE28" w:rsidR="005F3C96" w:rsidRDefault="005F3C96" w:rsidP="006E05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Wardle J, von Wagner C, </w:t>
      </w:r>
      <w:proofErr w:type="spellStart"/>
      <w:r>
        <w:rPr>
          <w:i/>
          <w:iCs/>
          <w:sz w:val="18"/>
          <w:szCs w:val="18"/>
        </w:rPr>
        <w:t>Kralj</w:t>
      </w:r>
      <w:proofErr w:type="spellEnd"/>
      <w:r>
        <w:rPr>
          <w:i/>
          <w:iCs/>
          <w:sz w:val="18"/>
          <w:szCs w:val="18"/>
        </w:rPr>
        <w:t xml:space="preserve">-Hans et al (including Smith SG) Effects of evidence-based strategies to reduce the socioeconomic gradient in uptake in the English NHS Bowel Cancer Screening Programme (ASCEND): four cluster-randomised controlled trials. Lancet 2016, 10020: 751-759. </w:t>
      </w:r>
      <w:hyperlink r:id="rId12" w:history="1">
        <w:r w:rsidR="00A02080" w:rsidRPr="00BB4D10">
          <w:rPr>
            <w:rStyle w:val="Hyperlink"/>
            <w:i/>
            <w:iCs/>
            <w:sz w:val="18"/>
            <w:szCs w:val="18"/>
          </w:rPr>
          <w:t>http://dx.doi.org/10.1016/S0140-6736(15)01154-X</w:t>
        </w:r>
      </w:hyperlink>
      <w:r w:rsidR="00A02080">
        <w:rPr>
          <w:i/>
          <w:iCs/>
          <w:sz w:val="18"/>
          <w:szCs w:val="18"/>
        </w:rPr>
        <w:t xml:space="preserve"> </w:t>
      </w:r>
    </w:p>
    <w:p w14:paraId="2F7E7311" w14:textId="77777777" w:rsidR="005F3C96" w:rsidRDefault="005F3C96" w:rsidP="006E05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i/>
          <w:iCs/>
          <w:sz w:val="18"/>
          <w:szCs w:val="18"/>
        </w:rPr>
      </w:pPr>
    </w:p>
    <w:p w14:paraId="21110F0C" w14:textId="2E9F50B6" w:rsidR="005F3C96" w:rsidRDefault="005F3C96" w:rsidP="006E05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i/>
          <w:iCs/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>von</w:t>
      </w:r>
      <w:proofErr w:type="gramEnd"/>
      <w:r>
        <w:rPr>
          <w:i/>
          <w:iCs/>
          <w:sz w:val="18"/>
          <w:szCs w:val="18"/>
        </w:rPr>
        <w:t xml:space="preserve"> Wagner et al. Inequalities in participation in an organized national colorectal cancer screening programme: results from the first 2.6 million invitations in England. International Journal of Epidemiology. 2011 30:712-718. </w:t>
      </w:r>
      <w:hyperlink r:id="rId13" w:history="1">
        <w:r w:rsidR="00A02080" w:rsidRPr="00BB4D10">
          <w:rPr>
            <w:rStyle w:val="Hyperlink"/>
            <w:i/>
            <w:iCs/>
            <w:sz w:val="18"/>
            <w:szCs w:val="18"/>
          </w:rPr>
          <w:t>https://doi.org/10.1093/ije/dyr008</w:t>
        </w:r>
      </w:hyperlink>
      <w:r w:rsidR="00A02080">
        <w:rPr>
          <w:i/>
          <w:iCs/>
          <w:sz w:val="18"/>
          <w:szCs w:val="18"/>
        </w:rPr>
        <w:t xml:space="preserve"> </w:t>
      </w:r>
    </w:p>
    <w:p w14:paraId="10C3B9EE" w14:textId="77777777" w:rsidR="006E05E4" w:rsidRDefault="006E05E4" w:rsidP="006E05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i/>
          <w:iCs/>
          <w:sz w:val="18"/>
          <w:szCs w:val="18"/>
        </w:rPr>
      </w:pPr>
    </w:p>
    <w:p w14:paraId="6F480D77" w14:textId="59AAF3C9" w:rsidR="006E05E4" w:rsidRPr="006E05E4" w:rsidRDefault="006E05E4" w:rsidP="006E05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cs="Arial"/>
          <w:i/>
          <w:sz w:val="18"/>
          <w:szCs w:val="18"/>
        </w:rPr>
      </w:pPr>
      <w:r w:rsidRPr="006E05E4">
        <w:rPr>
          <w:rFonts w:cs="Arial"/>
          <w:bCs/>
          <w:i/>
          <w:sz w:val="18"/>
          <w:szCs w:val="18"/>
        </w:rPr>
        <w:t xml:space="preserve">Black G et al. Patients’ Experiences of Cancer Diagnosis as a Result of an Emergency Presentation: A Qualitative Study. </w:t>
      </w:r>
      <w:proofErr w:type="spellStart"/>
      <w:r w:rsidRPr="006E05E4">
        <w:rPr>
          <w:rFonts w:cs="Arial"/>
          <w:bCs/>
          <w:i/>
          <w:sz w:val="18"/>
          <w:szCs w:val="18"/>
        </w:rPr>
        <w:t>PlosOne</w:t>
      </w:r>
      <w:proofErr w:type="spellEnd"/>
      <w:r w:rsidRPr="006E05E4">
        <w:rPr>
          <w:rFonts w:cs="Arial"/>
          <w:bCs/>
          <w:i/>
          <w:sz w:val="18"/>
          <w:szCs w:val="18"/>
        </w:rPr>
        <w:t xml:space="preserve"> </w:t>
      </w:r>
      <w:hyperlink r:id="rId14" w:history="1">
        <w:r w:rsidRPr="00A02080">
          <w:rPr>
            <w:rStyle w:val="Hyperlink"/>
            <w:i/>
            <w:iCs/>
            <w:sz w:val="18"/>
            <w:szCs w:val="18"/>
          </w:rPr>
          <w:t>http://dx.doi.org/10.1371/journal.pone.0135027</w:t>
        </w:r>
      </w:hyperlink>
    </w:p>
    <w:p w14:paraId="3FC09410" w14:textId="77777777" w:rsidR="006E05E4" w:rsidRDefault="006E05E4" w:rsidP="006E05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i/>
          <w:iCs/>
          <w:sz w:val="18"/>
          <w:szCs w:val="18"/>
        </w:rPr>
      </w:pPr>
    </w:p>
    <w:p w14:paraId="48A7C4D4" w14:textId="77777777" w:rsidR="006C2182" w:rsidRDefault="006C2182">
      <w:pPr>
        <w:rPr>
          <w:iCs/>
          <w:sz w:val="18"/>
          <w:szCs w:val="18"/>
        </w:rPr>
      </w:pPr>
      <w:r>
        <w:rPr>
          <w:iCs/>
          <w:sz w:val="18"/>
          <w:szCs w:val="18"/>
        </w:rPr>
        <w:br w:type="page"/>
      </w:r>
    </w:p>
    <w:p w14:paraId="6736D819" w14:textId="77777777" w:rsidR="006C2182" w:rsidRPr="00D23B6B" w:rsidRDefault="006C2182" w:rsidP="006C2182">
      <w:pPr>
        <w:pStyle w:val="ListParagraph"/>
        <w:numPr>
          <w:ilvl w:val="0"/>
          <w:numId w:val="1"/>
        </w:numPr>
        <w:ind w:left="36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Awareness</w:t>
      </w:r>
      <w:r w:rsidR="00374F2E">
        <w:rPr>
          <w:b/>
          <w:bCs/>
          <w:sz w:val="32"/>
          <w:szCs w:val="32"/>
          <w:u w:val="single"/>
        </w:rPr>
        <w:t xml:space="preserve"> and help-seeking</w:t>
      </w:r>
    </w:p>
    <w:p w14:paraId="3E0D242E" w14:textId="0314AD44" w:rsidR="006C2182" w:rsidRDefault="00D81692" w:rsidP="006C2182">
      <w:pPr>
        <w:pStyle w:val="ListParagraph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>Public awareness of cancer symptoms in the UK</w:t>
      </w:r>
      <w:r w:rsidR="00123E03">
        <w:rPr>
          <w:b/>
          <w:bCs/>
        </w:rPr>
        <w:t xml:space="preserve"> is similar to other comparable countries, but barriers to help-seeking (e.g. worry about wasting the doctor’s time) are more prevalent</w:t>
      </w:r>
    </w:p>
    <w:p w14:paraId="1931BE2C" w14:textId="04FDD637" w:rsidR="00374F2E" w:rsidRDefault="001157CE" w:rsidP="00374F2E">
      <w:pPr>
        <w:pStyle w:val="ListParagraph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>Low</w:t>
      </w:r>
      <w:r w:rsidR="00374F2E">
        <w:rPr>
          <w:b/>
          <w:bCs/>
        </w:rPr>
        <w:t xml:space="preserve"> symptom awareness in the UK has been tackled with public education campaigns about specific symptoms, often linked with messaging about GPs wanting to see people with these symptoms</w:t>
      </w:r>
    </w:p>
    <w:p w14:paraId="24596013" w14:textId="190FA86A" w:rsidR="00C4328C" w:rsidRPr="00374F2E" w:rsidRDefault="00374F2E" w:rsidP="00374F2E">
      <w:pPr>
        <w:pStyle w:val="ListParagraph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>There is s</w:t>
      </w:r>
      <w:r w:rsidR="00823AE9" w:rsidRPr="00374F2E">
        <w:rPr>
          <w:b/>
          <w:bCs/>
        </w:rPr>
        <w:t xml:space="preserve">ome evidence that these lead to improved outcomes in the short term (and relatively few harms), but </w:t>
      </w:r>
      <w:r w:rsidR="001157CE">
        <w:rPr>
          <w:b/>
          <w:bCs/>
        </w:rPr>
        <w:t xml:space="preserve">there is no evidence for long term benefit </w:t>
      </w:r>
    </w:p>
    <w:p w14:paraId="13C77453" w14:textId="77777777" w:rsidR="006C2182" w:rsidRDefault="00374F2E" w:rsidP="00374F2E">
      <w:pPr>
        <w:pStyle w:val="ListParagraph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>Lung cancer awareness campaigns have reported short term increases in x-rays, a stage shift towards earlier stage disease and a rise in potentially curative treatment, coupled with only minor increases in GP consultations</w:t>
      </w:r>
    </w:p>
    <w:p w14:paraId="65C64933" w14:textId="77777777" w:rsidR="00374F2E" w:rsidRDefault="00374F2E" w:rsidP="00374F2E">
      <w:pPr>
        <w:pStyle w:val="ListParagraph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>There is significant socio-</w:t>
      </w:r>
      <w:r w:rsidR="009B31AF">
        <w:rPr>
          <w:b/>
          <w:bCs/>
        </w:rPr>
        <w:t>demographic</w:t>
      </w:r>
      <w:r>
        <w:rPr>
          <w:b/>
          <w:bCs/>
        </w:rPr>
        <w:t xml:space="preserve"> variation in cancer awareness (a RCT of cancer symptom awareness raising is opening this year in Yorkshire)</w:t>
      </w:r>
    </w:p>
    <w:p w14:paraId="0FF2CA60" w14:textId="77777777" w:rsidR="00092FAF" w:rsidRDefault="00092FAF" w:rsidP="006C2182">
      <w:pPr>
        <w:rPr>
          <w:b/>
          <w:bCs/>
          <w:i/>
          <w:iCs/>
        </w:rPr>
      </w:pPr>
    </w:p>
    <w:p w14:paraId="02F31A73" w14:textId="77777777" w:rsidR="006C2182" w:rsidRPr="00D23B6B" w:rsidRDefault="006C2182" w:rsidP="006C2182">
      <w:pPr>
        <w:rPr>
          <w:b/>
          <w:bCs/>
          <w:i/>
          <w:iCs/>
        </w:rPr>
      </w:pPr>
      <w:r w:rsidRPr="00D23B6B">
        <w:rPr>
          <w:b/>
          <w:bCs/>
          <w:i/>
          <w:iCs/>
        </w:rPr>
        <w:t>KEY PRIORITIES:</w:t>
      </w:r>
    </w:p>
    <w:p w14:paraId="434A56FD" w14:textId="3BB34CB4" w:rsidR="006C2182" w:rsidRDefault="00374F2E" w:rsidP="006C2182">
      <w:pPr>
        <w:pStyle w:val="ListParagraph"/>
        <w:numPr>
          <w:ilvl w:val="0"/>
          <w:numId w:val="4"/>
        </w:numPr>
        <w:rPr>
          <w:i/>
          <w:iCs/>
        </w:rPr>
      </w:pPr>
      <w:r>
        <w:rPr>
          <w:i/>
          <w:iCs/>
        </w:rPr>
        <w:t>Encourag</w:t>
      </w:r>
      <w:r w:rsidR="00123E03">
        <w:rPr>
          <w:i/>
          <w:iCs/>
        </w:rPr>
        <w:t>e</w:t>
      </w:r>
      <w:r>
        <w:rPr>
          <w:i/>
          <w:iCs/>
        </w:rPr>
        <w:t xml:space="preserve"> health communities to </w:t>
      </w:r>
      <w:r w:rsidR="00490C4D">
        <w:rPr>
          <w:i/>
          <w:iCs/>
        </w:rPr>
        <w:t>promote</w:t>
      </w:r>
      <w:r>
        <w:rPr>
          <w:i/>
          <w:iCs/>
        </w:rPr>
        <w:t xml:space="preserve"> symptom awareness raising</w:t>
      </w:r>
      <w:r w:rsidR="00490C4D">
        <w:rPr>
          <w:i/>
          <w:iCs/>
        </w:rPr>
        <w:t>, on the basis that it may do some good, and causes few harms</w:t>
      </w:r>
    </w:p>
    <w:p w14:paraId="15F7FE02" w14:textId="4B1ECF04" w:rsidR="00374F2E" w:rsidRDefault="009B31AF" w:rsidP="006C2182">
      <w:pPr>
        <w:pStyle w:val="ListParagraph"/>
        <w:numPr>
          <w:ilvl w:val="0"/>
          <w:numId w:val="4"/>
        </w:numPr>
        <w:rPr>
          <w:i/>
          <w:iCs/>
        </w:rPr>
      </w:pPr>
      <w:r>
        <w:rPr>
          <w:i/>
          <w:iCs/>
        </w:rPr>
        <w:t>Ensure that a</w:t>
      </w:r>
      <w:r w:rsidR="00374F2E">
        <w:rPr>
          <w:i/>
          <w:iCs/>
        </w:rPr>
        <w:t xml:space="preserve">ll ‘awareness’ activity needs </w:t>
      </w:r>
      <w:r w:rsidR="001157CE">
        <w:rPr>
          <w:i/>
          <w:iCs/>
        </w:rPr>
        <w:t>is</w:t>
      </w:r>
      <w:r w:rsidR="00374F2E">
        <w:rPr>
          <w:i/>
          <w:iCs/>
        </w:rPr>
        <w:t xml:space="preserve"> culturally specific</w:t>
      </w:r>
    </w:p>
    <w:p w14:paraId="65D851E4" w14:textId="77777777" w:rsidR="00753808" w:rsidRDefault="00374F2E" w:rsidP="006C2182">
      <w:pPr>
        <w:pStyle w:val="ListParagraph"/>
        <w:numPr>
          <w:ilvl w:val="0"/>
          <w:numId w:val="4"/>
        </w:numPr>
        <w:rPr>
          <w:i/>
          <w:iCs/>
        </w:rPr>
      </w:pPr>
      <w:r>
        <w:rPr>
          <w:i/>
          <w:iCs/>
        </w:rPr>
        <w:t xml:space="preserve">Encourage </w:t>
      </w:r>
      <w:r w:rsidR="001157CE">
        <w:rPr>
          <w:i/>
          <w:iCs/>
        </w:rPr>
        <w:t xml:space="preserve">GP </w:t>
      </w:r>
      <w:r>
        <w:rPr>
          <w:i/>
          <w:iCs/>
        </w:rPr>
        <w:t xml:space="preserve">participation in </w:t>
      </w:r>
      <w:r w:rsidR="00753808">
        <w:rPr>
          <w:i/>
          <w:iCs/>
        </w:rPr>
        <w:t xml:space="preserve">the upcoming </w:t>
      </w:r>
      <w:r w:rsidR="001157CE">
        <w:rPr>
          <w:i/>
          <w:iCs/>
        </w:rPr>
        <w:t xml:space="preserve"> symptom awareness </w:t>
      </w:r>
      <w:r>
        <w:rPr>
          <w:i/>
          <w:iCs/>
        </w:rPr>
        <w:t>trial</w:t>
      </w:r>
    </w:p>
    <w:p w14:paraId="36CA7663" w14:textId="77777777" w:rsidR="006C2182" w:rsidRDefault="006C2182" w:rsidP="00753808">
      <w:pPr>
        <w:pStyle w:val="ListParagraph"/>
        <w:spacing w:after="0" w:line="240" w:lineRule="auto"/>
        <w:ind w:left="0"/>
        <w:rPr>
          <w:i/>
          <w:iCs/>
        </w:rPr>
      </w:pPr>
    </w:p>
    <w:p w14:paraId="102C96A6" w14:textId="143A623C" w:rsidR="00753808" w:rsidRPr="009B31AF" w:rsidRDefault="00753808" w:rsidP="009B31AF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i/>
          <w:iCs/>
          <w:sz w:val="18"/>
          <w:szCs w:val="18"/>
        </w:rPr>
      </w:pPr>
      <w:r w:rsidRPr="009B31AF">
        <w:rPr>
          <w:rFonts w:asciiTheme="minorHAnsi" w:eastAsiaTheme="minorEastAsia" w:hAnsiTheme="minorHAnsi" w:cstheme="minorBidi"/>
          <w:i/>
          <w:iCs/>
          <w:sz w:val="18"/>
          <w:szCs w:val="18"/>
          <w:lang w:eastAsia="zh-CN"/>
        </w:rPr>
        <w:t>Forbes</w:t>
      </w:r>
      <w:r w:rsidR="009B31AF" w:rsidRPr="009B31AF">
        <w:rPr>
          <w:rFonts w:asciiTheme="minorHAnsi" w:eastAsiaTheme="minorEastAsia" w:hAnsiTheme="minorHAnsi" w:cstheme="minorBidi"/>
          <w:i/>
          <w:iCs/>
          <w:sz w:val="18"/>
          <w:szCs w:val="18"/>
          <w:lang w:eastAsia="zh-CN"/>
        </w:rPr>
        <w:t xml:space="preserve"> LJ et al, on behalf of the International Cancer Benchmarking Partnership Module 2 Working Group. </w:t>
      </w:r>
      <w:r w:rsidRPr="009B31AF">
        <w:rPr>
          <w:rFonts w:asciiTheme="minorHAnsi" w:eastAsiaTheme="minorEastAsia" w:hAnsiTheme="minorHAnsi" w:cstheme="minorBidi"/>
          <w:i/>
          <w:iCs/>
          <w:sz w:val="18"/>
          <w:szCs w:val="18"/>
        </w:rPr>
        <w:t>Differences in cancer awareness and beliefs between Australia, Canada, Denmark, Norway, Sweden and the UK (the International Cancer Benchmarking Partnership): do they contribute to differences in cancer survival?</w:t>
      </w:r>
      <w:r w:rsidR="009B31AF" w:rsidRPr="009B31AF">
        <w:rPr>
          <w:rFonts w:asciiTheme="minorHAnsi" w:eastAsiaTheme="minorEastAsia" w:hAnsiTheme="minorHAnsi" w:cstheme="minorBidi"/>
          <w:i/>
          <w:iCs/>
          <w:sz w:val="18"/>
          <w:szCs w:val="18"/>
        </w:rPr>
        <w:t xml:space="preserve"> </w:t>
      </w:r>
      <w:r w:rsidR="009B31AF" w:rsidRPr="009B31AF">
        <w:rPr>
          <w:rFonts w:asciiTheme="minorHAnsi" w:eastAsiaTheme="minorEastAsia" w:hAnsiTheme="minorHAnsi" w:cstheme="minorBidi"/>
          <w:i/>
          <w:iCs/>
          <w:sz w:val="18"/>
          <w:szCs w:val="18"/>
          <w:lang w:eastAsia="zh-CN"/>
        </w:rPr>
        <w:t xml:space="preserve">Br J </w:t>
      </w:r>
      <w:r w:rsidRPr="009B31AF">
        <w:rPr>
          <w:rFonts w:asciiTheme="minorHAnsi" w:eastAsiaTheme="minorEastAsia" w:hAnsiTheme="minorHAnsi" w:cstheme="minorBidi"/>
          <w:i/>
          <w:iCs/>
          <w:sz w:val="18"/>
          <w:szCs w:val="18"/>
          <w:lang w:eastAsia="zh-CN"/>
        </w:rPr>
        <w:t xml:space="preserve">Cancer (2013) 108, 292–300. </w:t>
      </w:r>
      <w:hyperlink r:id="rId15" w:history="1">
        <w:r w:rsidR="00A02080" w:rsidRPr="00BB4D10">
          <w:rPr>
            <w:rStyle w:val="Hyperlink"/>
            <w:rFonts w:asciiTheme="minorHAnsi" w:eastAsiaTheme="minorEastAsia" w:hAnsiTheme="minorHAnsi" w:cstheme="minorBidi"/>
            <w:i/>
            <w:iCs/>
            <w:sz w:val="18"/>
            <w:szCs w:val="18"/>
            <w:lang w:eastAsia="zh-CN"/>
          </w:rPr>
          <w:t>https://doi.org/10.1038/bjc.2012.542</w:t>
        </w:r>
      </w:hyperlink>
      <w:r w:rsidR="00A02080">
        <w:rPr>
          <w:rFonts w:asciiTheme="minorHAnsi" w:eastAsiaTheme="minorEastAsia" w:hAnsiTheme="minorHAnsi" w:cstheme="minorBidi"/>
          <w:i/>
          <w:iCs/>
          <w:sz w:val="18"/>
          <w:szCs w:val="18"/>
          <w:lang w:eastAsia="zh-CN"/>
        </w:rPr>
        <w:t xml:space="preserve"> </w:t>
      </w:r>
      <w:r w:rsidRPr="009B31AF">
        <w:rPr>
          <w:rFonts w:asciiTheme="minorHAnsi" w:eastAsiaTheme="minorEastAsia" w:hAnsiTheme="minorHAnsi" w:cstheme="minorBidi"/>
          <w:i/>
          <w:iCs/>
          <w:sz w:val="18"/>
          <w:szCs w:val="18"/>
          <w:lang w:eastAsia="zh-CN"/>
        </w:rPr>
        <w:t xml:space="preserve"> </w:t>
      </w:r>
      <w:r w:rsidRPr="009B31AF">
        <w:rPr>
          <w:rFonts w:asciiTheme="minorHAnsi" w:eastAsiaTheme="minorEastAsia" w:hAnsiTheme="minorHAnsi" w:cstheme="minorBidi"/>
          <w:i/>
          <w:iCs/>
          <w:sz w:val="18"/>
          <w:szCs w:val="18"/>
          <w:lang w:eastAsia="zh-CN"/>
        </w:rPr>
        <w:br/>
      </w:r>
    </w:p>
    <w:p w14:paraId="199C1A40" w14:textId="3DBBE2AC" w:rsidR="009B31AF" w:rsidRPr="009B31AF" w:rsidRDefault="009B31AF" w:rsidP="009B31AF">
      <w:pPr>
        <w:pStyle w:val="Heading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0" w:line="240" w:lineRule="auto"/>
        <w:rPr>
          <w:rFonts w:asciiTheme="minorHAnsi" w:eastAsiaTheme="minorEastAsia" w:hAnsiTheme="minorHAnsi" w:cstheme="minorBidi"/>
          <w:i/>
          <w:iCs/>
          <w:color w:val="auto"/>
          <w:sz w:val="18"/>
          <w:szCs w:val="18"/>
          <w:lang w:eastAsia="en-GB"/>
        </w:rPr>
      </w:pPr>
      <w:proofErr w:type="spellStart"/>
      <w:r w:rsidRPr="009B31AF">
        <w:rPr>
          <w:rFonts w:asciiTheme="minorHAnsi" w:eastAsiaTheme="minorEastAsia" w:hAnsiTheme="minorHAnsi" w:cstheme="minorBidi"/>
          <w:i/>
          <w:iCs/>
          <w:color w:val="auto"/>
          <w:sz w:val="18"/>
          <w:szCs w:val="18"/>
        </w:rPr>
        <w:t>Quaife</w:t>
      </w:r>
      <w:proofErr w:type="spellEnd"/>
      <w:r w:rsidRPr="009B31AF">
        <w:rPr>
          <w:rFonts w:asciiTheme="minorHAnsi" w:eastAsiaTheme="minorEastAsia" w:hAnsiTheme="minorHAnsi" w:cstheme="minorBidi"/>
          <w:i/>
          <w:iCs/>
          <w:color w:val="auto"/>
          <w:sz w:val="18"/>
          <w:szCs w:val="18"/>
        </w:rPr>
        <w:t xml:space="preserve"> SL et al</w:t>
      </w:r>
      <w:r w:rsidRPr="009B31AF">
        <w:rPr>
          <w:rFonts w:asciiTheme="minorHAnsi" w:eastAsiaTheme="minorEastAsia" w:hAnsiTheme="minorHAnsi" w:cstheme="minorBidi"/>
          <w:i/>
          <w:iCs/>
          <w:color w:val="auto"/>
          <w:sz w:val="18"/>
          <w:szCs w:val="18"/>
          <w:lang w:eastAsia="en-GB"/>
        </w:rPr>
        <w:t>. Recognition of cancer warning signs and anticipated delay in help-seeking in a population sample of adults in the UK.</w:t>
      </w:r>
      <w:r w:rsidRPr="009B31AF">
        <w:rPr>
          <w:rFonts w:asciiTheme="minorHAnsi" w:eastAsiaTheme="minorEastAsia" w:hAnsiTheme="minorHAnsi" w:cstheme="minorBidi"/>
          <w:i/>
          <w:iCs/>
          <w:color w:val="auto"/>
          <w:sz w:val="18"/>
          <w:szCs w:val="18"/>
        </w:rPr>
        <w:t xml:space="preserve"> Br J Cancer (2014) 110, 12–18. </w:t>
      </w:r>
      <w:hyperlink r:id="rId16" w:history="1">
        <w:r w:rsidR="00A02080" w:rsidRPr="00BB4D10">
          <w:rPr>
            <w:rStyle w:val="Hyperlink"/>
            <w:rFonts w:asciiTheme="minorHAnsi" w:eastAsiaTheme="minorEastAsia" w:hAnsiTheme="minorHAnsi" w:cstheme="minorBidi"/>
            <w:i/>
            <w:iCs/>
            <w:sz w:val="18"/>
            <w:szCs w:val="18"/>
          </w:rPr>
          <w:t>https://doi.org/10.1038/bjc.2013.684</w:t>
        </w:r>
      </w:hyperlink>
      <w:r w:rsidR="00A02080">
        <w:rPr>
          <w:rFonts w:asciiTheme="minorHAnsi" w:eastAsiaTheme="minorEastAsia" w:hAnsiTheme="minorHAnsi" w:cstheme="minorBidi"/>
          <w:i/>
          <w:iCs/>
          <w:color w:val="auto"/>
          <w:sz w:val="18"/>
          <w:szCs w:val="18"/>
        </w:rPr>
        <w:t xml:space="preserve"> </w:t>
      </w:r>
      <w:r w:rsidRPr="009B31AF">
        <w:rPr>
          <w:rFonts w:asciiTheme="minorHAnsi" w:eastAsiaTheme="minorEastAsia" w:hAnsiTheme="minorHAnsi" w:cstheme="minorBidi"/>
          <w:i/>
          <w:iCs/>
          <w:color w:val="auto"/>
          <w:sz w:val="18"/>
          <w:szCs w:val="18"/>
        </w:rPr>
        <w:t> </w:t>
      </w:r>
    </w:p>
    <w:p w14:paraId="14A7C8B8" w14:textId="77777777" w:rsidR="009B31AF" w:rsidRPr="009B31AF" w:rsidRDefault="009B31AF" w:rsidP="009B31AF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i/>
          <w:iCs/>
          <w:sz w:val="18"/>
          <w:szCs w:val="18"/>
        </w:rPr>
      </w:pPr>
    </w:p>
    <w:p w14:paraId="03CBE88E" w14:textId="5131B845" w:rsidR="009B31AF" w:rsidRPr="009B31AF" w:rsidRDefault="009B31AF" w:rsidP="009B31AF">
      <w:pPr>
        <w:pStyle w:val="Heading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rPr>
          <w:rFonts w:asciiTheme="minorHAnsi" w:eastAsiaTheme="minorEastAsia" w:hAnsiTheme="minorHAnsi" w:cstheme="minorBidi"/>
          <w:i/>
          <w:iCs/>
          <w:color w:val="auto"/>
          <w:sz w:val="18"/>
          <w:szCs w:val="18"/>
        </w:rPr>
      </w:pPr>
      <w:r w:rsidRPr="00123E03">
        <w:rPr>
          <w:rFonts w:asciiTheme="minorHAnsi" w:eastAsiaTheme="minorEastAsia" w:hAnsiTheme="minorHAnsi" w:cstheme="minorBidi"/>
          <w:i/>
          <w:iCs/>
          <w:color w:val="auto"/>
          <w:sz w:val="18"/>
          <w:szCs w:val="18"/>
        </w:rPr>
        <w:t>Ironmonger</w:t>
      </w:r>
      <w:r w:rsidRPr="00490C4D">
        <w:rPr>
          <w:rFonts w:asciiTheme="minorHAnsi" w:eastAsiaTheme="minorEastAsia" w:hAnsiTheme="minorHAnsi" w:cstheme="minorBidi"/>
          <w:i/>
          <w:iCs/>
          <w:color w:val="auto"/>
          <w:sz w:val="18"/>
          <w:szCs w:val="18"/>
        </w:rPr>
        <w:t xml:space="preserve"> L et al.</w:t>
      </w:r>
      <w:r w:rsidRPr="00123E03">
        <w:rPr>
          <w:rFonts w:asciiTheme="minorHAnsi" w:eastAsiaTheme="minorEastAsia" w:hAnsiTheme="minorHAnsi" w:cstheme="minorBidi"/>
          <w:i/>
          <w:iCs/>
          <w:color w:val="auto"/>
          <w:sz w:val="18"/>
          <w:szCs w:val="18"/>
          <w:lang w:eastAsia="en-GB"/>
        </w:rPr>
        <w:t xml:space="preserve"> </w:t>
      </w:r>
      <w:r w:rsidRPr="009B31AF">
        <w:rPr>
          <w:rFonts w:asciiTheme="minorHAnsi" w:eastAsiaTheme="minorEastAsia" w:hAnsiTheme="minorHAnsi" w:cstheme="minorBidi"/>
          <w:i/>
          <w:iCs/>
          <w:color w:val="auto"/>
          <w:sz w:val="18"/>
          <w:szCs w:val="18"/>
          <w:lang w:eastAsia="en-GB"/>
        </w:rPr>
        <w:t xml:space="preserve">An evaluation of the impact of large-scale interventions to raise public awareness of a lung cancer symptom. </w:t>
      </w:r>
      <w:r w:rsidRPr="009B31AF">
        <w:rPr>
          <w:rFonts w:asciiTheme="minorHAnsi" w:eastAsiaTheme="minorEastAsia" w:hAnsiTheme="minorHAnsi" w:cstheme="minorBidi"/>
          <w:i/>
          <w:iCs/>
          <w:color w:val="auto"/>
          <w:sz w:val="18"/>
          <w:szCs w:val="18"/>
        </w:rPr>
        <w:t xml:space="preserve">Br J Cancer (2015) 112, 207–216. </w:t>
      </w:r>
      <w:hyperlink r:id="rId17" w:history="1">
        <w:r w:rsidR="00422B44" w:rsidRPr="00BB4D10">
          <w:rPr>
            <w:rStyle w:val="Hyperlink"/>
            <w:rFonts w:asciiTheme="minorHAnsi" w:eastAsiaTheme="minorEastAsia" w:hAnsiTheme="minorHAnsi" w:cstheme="minorBidi"/>
            <w:i/>
            <w:iCs/>
            <w:sz w:val="18"/>
            <w:szCs w:val="18"/>
          </w:rPr>
          <w:t>https://doi.org/10.1038/bjc.2014.596</w:t>
        </w:r>
      </w:hyperlink>
      <w:r w:rsidR="00422B44">
        <w:rPr>
          <w:rFonts w:asciiTheme="minorHAnsi" w:eastAsiaTheme="minorEastAsia" w:hAnsiTheme="minorHAnsi" w:cstheme="minorBidi"/>
          <w:i/>
          <w:iCs/>
          <w:color w:val="auto"/>
          <w:sz w:val="18"/>
          <w:szCs w:val="18"/>
        </w:rPr>
        <w:t xml:space="preserve"> </w:t>
      </w:r>
    </w:p>
    <w:p w14:paraId="40A53B6B" w14:textId="77777777" w:rsidR="009B31AF" w:rsidRPr="009B31AF" w:rsidRDefault="009B31AF" w:rsidP="009B31AF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i/>
          <w:iCs/>
          <w:sz w:val="18"/>
          <w:szCs w:val="18"/>
        </w:rPr>
      </w:pPr>
    </w:p>
    <w:p w14:paraId="1DE55BAE" w14:textId="0E2E653D" w:rsidR="009B31AF" w:rsidRPr="009B31AF" w:rsidRDefault="009B31AF" w:rsidP="009B31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bCs/>
          <w:i/>
          <w:iCs/>
          <w:sz w:val="18"/>
          <w:szCs w:val="18"/>
        </w:rPr>
      </w:pPr>
      <w:r w:rsidRPr="009B31AF">
        <w:rPr>
          <w:bCs/>
          <w:i/>
          <w:iCs/>
          <w:sz w:val="18"/>
          <w:szCs w:val="18"/>
        </w:rPr>
        <w:t xml:space="preserve">Rubin G, </w:t>
      </w:r>
      <w:proofErr w:type="spellStart"/>
      <w:r w:rsidRPr="009B31AF">
        <w:rPr>
          <w:bCs/>
          <w:i/>
          <w:iCs/>
          <w:sz w:val="18"/>
          <w:szCs w:val="18"/>
        </w:rPr>
        <w:t>Berensen</w:t>
      </w:r>
      <w:proofErr w:type="spellEnd"/>
      <w:r w:rsidRPr="009B31AF">
        <w:rPr>
          <w:bCs/>
          <w:i/>
          <w:iCs/>
          <w:sz w:val="18"/>
          <w:szCs w:val="18"/>
        </w:rPr>
        <w:t xml:space="preserve"> A, Crawford SM et al (including Neal RD). The expanding role of primary care in cancer control. Lancet Oncology 2015</w:t>
      </w:r>
      <w:proofErr w:type="gramStart"/>
      <w:r w:rsidRPr="009B31AF">
        <w:rPr>
          <w:bCs/>
          <w:i/>
          <w:iCs/>
          <w:sz w:val="18"/>
          <w:szCs w:val="18"/>
        </w:rPr>
        <w:t>;16:1231</w:t>
      </w:r>
      <w:proofErr w:type="gramEnd"/>
      <w:r w:rsidRPr="009B31AF">
        <w:rPr>
          <w:bCs/>
          <w:i/>
          <w:iCs/>
          <w:sz w:val="18"/>
          <w:szCs w:val="18"/>
        </w:rPr>
        <w:t>–72</w:t>
      </w:r>
      <w:r w:rsidR="00422B44">
        <w:rPr>
          <w:bCs/>
          <w:i/>
          <w:iCs/>
          <w:sz w:val="18"/>
          <w:szCs w:val="18"/>
        </w:rPr>
        <w:t xml:space="preserve">. </w:t>
      </w:r>
      <w:hyperlink r:id="rId18" w:history="1">
        <w:r w:rsidR="00422B44" w:rsidRPr="00422B44">
          <w:rPr>
            <w:rStyle w:val="Hyperlink"/>
            <w:i/>
            <w:iCs/>
            <w:sz w:val="18"/>
            <w:szCs w:val="18"/>
          </w:rPr>
          <w:t>http://dx.doi.org/10.1016/S1470-2045(15)00205-3</w:t>
        </w:r>
      </w:hyperlink>
    </w:p>
    <w:p w14:paraId="02FAD398" w14:textId="77777777" w:rsidR="009B31AF" w:rsidRPr="00012E9F" w:rsidRDefault="009B31AF" w:rsidP="009B31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bCs/>
          <w:i/>
          <w:iCs/>
          <w:sz w:val="18"/>
          <w:szCs w:val="18"/>
        </w:rPr>
      </w:pPr>
    </w:p>
    <w:p w14:paraId="6B94163A" w14:textId="77777777" w:rsidR="006C2182" w:rsidRDefault="006C2182">
      <w:pPr>
        <w:rPr>
          <w:iCs/>
          <w:sz w:val="18"/>
          <w:szCs w:val="18"/>
        </w:rPr>
      </w:pPr>
      <w:r>
        <w:rPr>
          <w:iCs/>
          <w:sz w:val="18"/>
          <w:szCs w:val="18"/>
        </w:rPr>
        <w:br w:type="page"/>
      </w:r>
    </w:p>
    <w:p w14:paraId="2B25AF20" w14:textId="77777777" w:rsidR="006C2182" w:rsidRPr="00D23B6B" w:rsidRDefault="006C2182" w:rsidP="006C2182">
      <w:pPr>
        <w:pStyle w:val="ListParagraph"/>
        <w:numPr>
          <w:ilvl w:val="0"/>
          <w:numId w:val="1"/>
        </w:numPr>
        <w:ind w:left="36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Primary Care management of potential cancer symptoms</w:t>
      </w:r>
    </w:p>
    <w:p w14:paraId="5FBC395D" w14:textId="76B4BF30" w:rsidR="005773B5" w:rsidRDefault="005773B5" w:rsidP="006C2182">
      <w:pPr>
        <w:pStyle w:val="ListParagraph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 xml:space="preserve">Timely diagnosis is associated with better cancer outcomes (for those cancers where there are good </w:t>
      </w:r>
      <w:r w:rsidR="00123E03">
        <w:rPr>
          <w:b/>
          <w:bCs/>
        </w:rPr>
        <w:t>data</w:t>
      </w:r>
      <w:r>
        <w:rPr>
          <w:b/>
          <w:bCs/>
        </w:rPr>
        <w:t xml:space="preserve">); there is significant regional and national variation in times to diagnosis and in cancer survival. Improving earlier diagnosis is predicted to save </w:t>
      </w:r>
      <w:r w:rsidR="00123E03">
        <w:rPr>
          <w:b/>
          <w:bCs/>
        </w:rPr>
        <w:t xml:space="preserve">up to </w:t>
      </w:r>
      <w:r>
        <w:rPr>
          <w:b/>
          <w:bCs/>
        </w:rPr>
        <w:t>10000 lives annually</w:t>
      </w:r>
    </w:p>
    <w:p w14:paraId="52F17D59" w14:textId="77777777" w:rsidR="006C2182" w:rsidRDefault="00224FE2" w:rsidP="006C2182">
      <w:pPr>
        <w:pStyle w:val="ListParagraph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NICE guidance NG12 (2015) predicates urgent action for adult patients presenting with symptoms that are deemed to represent a risk of 3% or more of having underlying cancer</w:t>
      </w:r>
    </w:p>
    <w:p w14:paraId="1562B400" w14:textId="77777777" w:rsidR="006C2182" w:rsidRDefault="005773B5" w:rsidP="006C2182">
      <w:pPr>
        <w:pStyle w:val="ListParagraph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Greater use of 2-week referral pathways are associated with reduced mortality</w:t>
      </w:r>
    </w:p>
    <w:p w14:paraId="06A0105D" w14:textId="77777777" w:rsidR="006C2182" w:rsidRDefault="005773B5" w:rsidP="006C2182">
      <w:pPr>
        <w:pStyle w:val="ListParagraph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There is huge variation in the use of 2-week wait pathways and of adherence to guidelines</w:t>
      </w:r>
    </w:p>
    <w:p w14:paraId="45A06147" w14:textId="77777777" w:rsidR="006C2182" w:rsidRDefault="005773B5" w:rsidP="006C2182">
      <w:pPr>
        <w:pStyle w:val="ListParagraph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 xml:space="preserve">Many cancer patients do not get ‘NICE-qualifying symptoms’ (low-risk-but-not-no-risk) therefore GPs must rely on good clinical medicine and local pathways for investigation and referral </w:t>
      </w:r>
    </w:p>
    <w:p w14:paraId="34C0C20D" w14:textId="15639820" w:rsidR="005773B5" w:rsidRDefault="00224FE2" w:rsidP="006C2182">
      <w:pPr>
        <w:pStyle w:val="ListParagraph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Safety-netting</w:t>
      </w:r>
      <w:r w:rsidR="005773B5">
        <w:rPr>
          <w:b/>
          <w:bCs/>
        </w:rPr>
        <w:t>, use of significant event audit, decision support tools</w:t>
      </w:r>
      <w:r w:rsidR="0066089D">
        <w:rPr>
          <w:b/>
          <w:bCs/>
        </w:rPr>
        <w:t xml:space="preserve">, </w:t>
      </w:r>
      <w:r w:rsidR="00123E03">
        <w:rPr>
          <w:b/>
          <w:bCs/>
        </w:rPr>
        <w:t xml:space="preserve">and </w:t>
      </w:r>
      <w:r w:rsidR="0066089D">
        <w:rPr>
          <w:b/>
          <w:bCs/>
        </w:rPr>
        <w:t xml:space="preserve">PHE practice profiles are all </w:t>
      </w:r>
      <w:r w:rsidR="001E6C0F">
        <w:rPr>
          <w:b/>
          <w:bCs/>
        </w:rPr>
        <w:t>likely to be associated with better cancer outcomes</w:t>
      </w:r>
    </w:p>
    <w:p w14:paraId="29D2922D" w14:textId="77777777" w:rsidR="00092FAF" w:rsidRDefault="00092FAF" w:rsidP="006C2182">
      <w:pPr>
        <w:rPr>
          <w:b/>
          <w:bCs/>
          <w:i/>
          <w:iCs/>
        </w:rPr>
      </w:pPr>
    </w:p>
    <w:p w14:paraId="61E13DB8" w14:textId="77777777" w:rsidR="006C2182" w:rsidRPr="00D23B6B" w:rsidRDefault="006C2182" w:rsidP="006C2182">
      <w:pPr>
        <w:rPr>
          <w:b/>
          <w:bCs/>
          <w:i/>
          <w:iCs/>
        </w:rPr>
      </w:pPr>
      <w:r w:rsidRPr="00D23B6B">
        <w:rPr>
          <w:b/>
          <w:bCs/>
          <w:i/>
          <w:iCs/>
        </w:rPr>
        <w:t>KEY PRIORITIES:</w:t>
      </w:r>
    </w:p>
    <w:p w14:paraId="1909A33F" w14:textId="77777777" w:rsidR="006C2182" w:rsidRDefault="001E6C0F" w:rsidP="006C2182">
      <w:pPr>
        <w:pStyle w:val="ListParagraph"/>
        <w:numPr>
          <w:ilvl w:val="0"/>
          <w:numId w:val="4"/>
        </w:numPr>
        <w:rPr>
          <w:i/>
          <w:iCs/>
        </w:rPr>
      </w:pPr>
      <w:r>
        <w:rPr>
          <w:i/>
          <w:iCs/>
        </w:rPr>
        <w:t>Ensure adherence to NICE NG12 and ensure that pathways are in place to allow downstream adherence to NICE NG12</w:t>
      </w:r>
    </w:p>
    <w:p w14:paraId="21C874D7" w14:textId="77777777" w:rsidR="006C2182" w:rsidRDefault="001E6C0F" w:rsidP="006C2182">
      <w:pPr>
        <w:pStyle w:val="ListParagraph"/>
        <w:numPr>
          <w:ilvl w:val="0"/>
          <w:numId w:val="4"/>
        </w:numPr>
        <w:rPr>
          <w:i/>
          <w:iCs/>
        </w:rPr>
      </w:pPr>
      <w:r>
        <w:rPr>
          <w:i/>
          <w:iCs/>
        </w:rPr>
        <w:t xml:space="preserve">Encourage use of </w:t>
      </w:r>
      <w:r w:rsidR="00F47F15">
        <w:rPr>
          <w:i/>
          <w:iCs/>
        </w:rPr>
        <w:t xml:space="preserve">decision support tools (RATs, </w:t>
      </w:r>
      <w:proofErr w:type="spellStart"/>
      <w:r w:rsidR="00F47F15">
        <w:rPr>
          <w:i/>
          <w:iCs/>
        </w:rPr>
        <w:t>QCancer</w:t>
      </w:r>
      <w:proofErr w:type="spellEnd"/>
      <w:r w:rsidR="00F47F15">
        <w:rPr>
          <w:i/>
          <w:iCs/>
        </w:rPr>
        <w:t>), safety netting practices, significant event auditing, and practice profiles</w:t>
      </w:r>
    </w:p>
    <w:p w14:paraId="2237247D" w14:textId="77777777" w:rsidR="00F47F15" w:rsidRDefault="00F47F15" w:rsidP="00F47F15">
      <w:pPr>
        <w:pStyle w:val="ListParagraph"/>
        <w:ind w:left="360"/>
        <w:rPr>
          <w:i/>
          <w:iCs/>
        </w:rPr>
      </w:pPr>
    </w:p>
    <w:p w14:paraId="387F94B8" w14:textId="77777777" w:rsidR="00FB202E" w:rsidRDefault="00FB202E" w:rsidP="00FB2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NICE NG12. </w:t>
      </w:r>
      <w:r w:rsidRPr="00FB202E">
        <w:rPr>
          <w:i/>
          <w:iCs/>
          <w:sz w:val="18"/>
          <w:szCs w:val="18"/>
        </w:rPr>
        <w:t>Suspected cancer: recognition and referral</w:t>
      </w:r>
      <w:r>
        <w:rPr>
          <w:i/>
          <w:iCs/>
          <w:sz w:val="18"/>
          <w:szCs w:val="18"/>
        </w:rPr>
        <w:t xml:space="preserve"> 2015 </w:t>
      </w:r>
      <w:hyperlink r:id="rId19" w:history="1">
        <w:r w:rsidRPr="00531E16">
          <w:rPr>
            <w:rStyle w:val="Hyperlink"/>
            <w:i/>
            <w:iCs/>
            <w:sz w:val="18"/>
            <w:szCs w:val="18"/>
          </w:rPr>
          <w:t>https://www.nice.org.uk/guidance/ng12</w:t>
        </w:r>
      </w:hyperlink>
    </w:p>
    <w:p w14:paraId="1179315C" w14:textId="2965992F" w:rsidR="00FB202E" w:rsidRPr="00FB202E" w:rsidRDefault="00FB202E" w:rsidP="00FB2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8"/>
          <w:szCs w:val="18"/>
        </w:rPr>
      </w:pPr>
      <w:r w:rsidRPr="00FB202E">
        <w:rPr>
          <w:i/>
          <w:iCs/>
          <w:sz w:val="18"/>
          <w:szCs w:val="18"/>
        </w:rPr>
        <w:t xml:space="preserve">Neal RD, </w:t>
      </w:r>
      <w:proofErr w:type="spellStart"/>
      <w:r w:rsidRPr="00FB202E">
        <w:rPr>
          <w:i/>
          <w:iCs/>
          <w:sz w:val="18"/>
          <w:szCs w:val="18"/>
        </w:rPr>
        <w:t>Tharmanathan</w:t>
      </w:r>
      <w:proofErr w:type="spellEnd"/>
      <w:r w:rsidRPr="00FB202E">
        <w:rPr>
          <w:i/>
          <w:iCs/>
          <w:sz w:val="18"/>
          <w:szCs w:val="18"/>
        </w:rPr>
        <w:t xml:space="preserve"> P, France B, Din NU, Cotton S, Fallon-Ferguson J, Hamilton W, Hendry A, Hendry M, Lewis R, Macleod U, Mitchell ED, Pickett M, Rai T, Shaw K, Stuart N, </w:t>
      </w:r>
      <w:proofErr w:type="spellStart"/>
      <w:r w:rsidRPr="00FB202E">
        <w:rPr>
          <w:i/>
          <w:iCs/>
          <w:sz w:val="18"/>
          <w:szCs w:val="18"/>
        </w:rPr>
        <w:t>Tørring</w:t>
      </w:r>
      <w:proofErr w:type="spellEnd"/>
      <w:r w:rsidRPr="00FB202E">
        <w:rPr>
          <w:i/>
          <w:iCs/>
          <w:sz w:val="18"/>
          <w:szCs w:val="18"/>
        </w:rPr>
        <w:t xml:space="preserve"> ML, Wilkinson C, Williams B, Williams N, Emery J. Is increased time to diagnosis and treatment in symptomatic cancer associated with poorer outcomes? Systematic review. </w:t>
      </w:r>
      <w:r>
        <w:rPr>
          <w:i/>
          <w:iCs/>
          <w:sz w:val="18"/>
          <w:szCs w:val="18"/>
        </w:rPr>
        <w:t>Br J Cancer</w:t>
      </w:r>
      <w:r w:rsidRPr="00FB202E">
        <w:rPr>
          <w:i/>
          <w:iCs/>
          <w:sz w:val="18"/>
          <w:szCs w:val="18"/>
        </w:rPr>
        <w:t xml:space="preserve"> 2015, 1–16</w:t>
      </w:r>
      <w:r w:rsidR="00422B44">
        <w:rPr>
          <w:i/>
          <w:iCs/>
          <w:sz w:val="18"/>
          <w:szCs w:val="18"/>
        </w:rPr>
        <w:t>.</w:t>
      </w:r>
      <w:r w:rsidRPr="00FB202E">
        <w:rPr>
          <w:i/>
          <w:iCs/>
          <w:sz w:val="18"/>
          <w:szCs w:val="18"/>
        </w:rPr>
        <w:t xml:space="preserve"> </w:t>
      </w:r>
      <w:hyperlink r:id="rId20" w:history="1">
        <w:r w:rsidR="00422B44" w:rsidRPr="00BB4D10">
          <w:rPr>
            <w:rStyle w:val="Hyperlink"/>
            <w:i/>
            <w:iCs/>
            <w:sz w:val="18"/>
            <w:szCs w:val="18"/>
          </w:rPr>
          <w:t>https://doi.org/10.1038/bjc.2015.48</w:t>
        </w:r>
      </w:hyperlink>
      <w:r w:rsidR="00422B44">
        <w:rPr>
          <w:i/>
          <w:iCs/>
          <w:sz w:val="18"/>
          <w:szCs w:val="18"/>
        </w:rPr>
        <w:t xml:space="preserve"> </w:t>
      </w:r>
    </w:p>
    <w:p w14:paraId="71675A14" w14:textId="7FCA0C43" w:rsidR="00FB202E" w:rsidRPr="00FB202E" w:rsidRDefault="00FB202E" w:rsidP="00FB2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8"/>
          <w:szCs w:val="18"/>
        </w:rPr>
      </w:pPr>
      <w:r w:rsidRPr="00FB202E">
        <w:rPr>
          <w:i/>
          <w:iCs/>
          <w:sz w:val="18"/>
          <w:szCs w:val="18"/>
        </w:rPr>
        <w:t>Rubin G, Walter F, Emery J, Neal RD, Hamilton W, Wardle J. Research into practice: earlier diagnosis of symptomatic cancer B</w:t>
      </w:r>
      <w:r>
        <w:rPr>
          <w:i/>
          <w:iCs/>
          <w:sz w:val="18"/>
          <w:szCs w:val="18"/>
        </w:rPr>
        <w:t xml:space="preserve">r </w:t>
      </w:r>
      <w:r w:rsidRPr="00FB202E">
        <w:rPr>
          <w:i/>
          <w:iCs/>
          <w:sz w:val="18"/>
          <w:szCs w:val="18"/>
        </w:rPr>
        <w:t>J</w:t>
      </w:r>
      <w:r>
        <w:rPr>
          <w:i/>
          <w:iCs/>
          <w:sz w:val="18"/>
          <w:szCs w:val="18"/>
        </w:rPr>
        <w:t xml:space="preserve"> Gen </w:t>
      </w:r>
      <w:r w:rsidRPr="00FB202E">
        <w:rPr>
          <w:i/>
          <w:iCs/>
          <w:sz w:val="18"/>
          <w:szCs w:val="18"/>
        </w:rPr>
        <w:t>GP 2014;64:428-430.</w:t>
      </w:r>
      <w:r w:rsidR="00422B44" w:rsidRPr="00422B44">
        <w:rPr>
          <w:rFonts w:ascii="Helvetica" w:hAnsi="Helvetica" w:cs="Helvetica"/>
          <w:color w:val="333333"/>
          <w:sz w:val="17"/>
          <w:szCs w:val="17"/>
          <w:shd w:val="clear" w:color="auto" w:fill="ECF8FD"/>
        </w:rPr>
        <w:t xml:space="preserve"> </w:t>
      </w:r>
      <w:r w:rsidR="00422B44" w:rsidRPr="00422B44">
        <w:rPr>
          <w:rStyle w:val="Hyperlink"/>
          <w:i/>
          <w:iCs/>
          <w:sz w:val="18"/>
          <w:szCs w:val="18"/>
        </w:rPr>
        <w:t>https://doi.org/10.3399/bjgp14X681205</w:t>
      </w:r>
    </w:p>
    <w:p w14:paraId="24F7B24B" w14:textId="4ED66961" w:rsidR="00FB202E" w:rsidRPr="00FB202E" w:rsidRDefault="00FB202E" w:rsidP="00FB2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8"/>
          <w:szCs w:val="18"/>
        </w:rPr>
      </w:pPr>
      <w:proofErr w:type="gramStart"/>
      <w:r w:rsidRPr="00FB202E">
        <w:rPr>
          <w:i/>
          <w:iCs/>
          <w:sz w:val="18"/>
          <w:szCs w:val="18"/>
        </w:rPr>
        <w:t>Hamilton W, Walter FM, Rubin GR, Neal RD. Improving early diagnosis of symptomatic cancer.</w:t>
      </w:r>
      <w:proofErr w:type="gramEnd"/>
      <w:r w:rsidRPr="00FB202E">
        <w:rPr>
          <w:i/>
          <w:iCs/>
          <w:sz w:val="18"/>
          <w:szCs w:val="18"/>
        </w:rPr>
        <w:t xml:space="preserve"> Nat Rev </w:t>
      </w:r>
      <w:proofErr w:type="spellStart"/>
      <w:r w:rsidRPr="00FB202E">
        <w:rPr>
          <w:i/>
          <w:iCs/>
          <w:sz w:val="18"/>
          <w:szCs w:val="18"/>
        </w:rPr>
        <w:t>Clin</w:t>
      </w:r>
      <w:proofErr w:type="spellEnd"/>
      <w:r w:rsidRPr="00FB202E">
        <w:rPr>
          <w:i/>
          <w:iCs/>
          <w:sz w:val="18"/>
          <w:szCs w:val="18"/>
        </w:rPr>
        <w:t xml:space="preserve"> </w:t>
      </w:r>
      <w:proofErr w:type="spellStart"/>
      <w:r w:rsidRPr="00FB202E">
        <w:rPr>
          <w:i/>
          <w:iCs/>
          <w:sz w:val="18"/>
          <w:szCs w:val="18"/>
        </w:rPr>
        <w:t>Onc</w:t>
      </w:r>
      <w:proofErr w:type="spellEnd"/>
      <w:r w:rsidRPr="00FB202E">
        <w:rPr>
          <w:i/>
          <w:iCs/>
          <w:sz w:val="18"/>
          <w:szCs w:val="18"/>
        </w:rPr>
        <w:t xml:space="preserve"> </w:t>
      </w:r>
      <w:hyperlink r:id="rId21" w:history="1">
        <w:r w:rsidR="00422B44" w:rsidRPr="00BB4D10">
          <w:rPr>
            <w:rStyle w:val="Hyperlink"/>
            <w:i/>
            <w:iCs/>
            <w:sz w:val="18"/>
            <w:szCs w:val="18"/>
          </w:rPr>
          <w:t>https://doi.org/10.1038/nrclinonc.2016.109</w:t>
        </w:r>
      </w:hyperlink>
      <w:r w:rsidR="00422B44">
        <w:rPr>
          <w:i/>
          <w:iCs/>
          <w:sz w:val="18"/>
          <w:szCs w:val="18"/>
        </w:rPr>
        <w:t xml:space="preserve"> </w:t>
      </w:r>
    </w:p>
    <w:p w14:paraId="4D7FB8FE" w14:textId="371E791A" w:rsidR="00FB202E" w:rsidRPr="00FB202E" w:rsidRDefault="00D45BCB" w:rsidP="00FB2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8"/>
          <w:szCs w:val="18"/>
        </w:rPr>
      </w:pPr>
      <w:hyperlink r:id="rId22" w:history="1">
        <w:r w:rsidR="00FB202E" w:rsidRPr="00FB202E">
          <w:rPr>
            <w:i/>
            <w:iCs/>
            <w:sz w:val="18"/>
            <w:szCs w:val="18"/>
          </w:rPr>
          <w:t>Richards MA</w:t>
        </w:r>
      </w:hyperlink>
      <w:r w:rsidR="00FB202E" w:rsidRPr="00FB202E">
        <w:rPr>
          <w:i/>
          <w:iCs/>
          <w:sz w:val="18"/>
          <w:szCs w:val="18"/>
        </w:rPr>
        <w:t xml:space="preserve">. The size of the prize for earlier diagnosis of cancer in England. </w:t>
      </w:r>
      <w:hyperlink r:id="rId23" w:tooltip="British journal of cancer." w:history="1">
        <w:r w:rsidR="00FB202E" w:rsidRPr="00FB202E">
          <w:rPr>
            <w:i/>
            <w:iCs/>
            <w:sz w:val="18"/>
            <w:szCs w:val="18"/>
          </w:rPr>
          <w:t>Br J Cancer.</w:t>
        </w:r>
      </w:hyperlink>
      <w:r w:rsidR="00FB202E" w:rsidRPr="00FB202E">
        <w:rPr>
          <w:i/>
          <w:iCs/>
          <w:sz w:val="18"/>
          <w:szCs w:val="18"/>
        </w:rPr>
        <w:t> 2009 Dec 3</w:t>
      </w:r>
      <w:proofErr w:type="gramStart"/>
      <w:r w:rsidR="00FB202E" w:rsidRPr="00FB202E">
        <w:rPr>
          <w:i/>
          <w:iCs/>
          <w:sz w:val="18"/>
          <w:szCs w:val="18"/>
        </w:rPr>
        <w:t>;101</w:t>
      </w:r>
      <w:proofErr w:type="gramEnd"/>
      <w:r w:rsidR="00FB202E" w:rsidRPr="00FB202E">
        <w:rPr>
          <w:i/>
          <w:iCs/>
          <w:sz w:val="18"/>
          <w:szCs w:val="18"/>
        </w:rPr>
        <w:t xml:space="preserve"> </w:t>
      </w:r>
      <w:proofErr w:type="spellStart"/>
      <w:r w:rsidR="00FB202E" w:rsidRPr="00FB202E">
        <w:rPr>
          <w:i/>
          <w:iCs/>
          <w:sz w:val="18"/>
          <w:szCs w:val="18"/>
        </w:rPr>
        <w:t>Suppl</w:t>
      </w:r>
      <w:proofErr w:type="spellEnd"/>
      <w:r w:rsidR="00FB202E" w:rsidRPr="00FB202E">
        <w:rPr>
          <w:i/>
          <w:iCs/>
          <w:sz w:val="18"/>
          <w:szCs w:val="18"/>
        </w:rPr>
        <w:t xml:space="preserve"> 2:S125-9. </w:t>
      </w:r>
      <w:hyperlink r:id="rId24" w:history="1">
        <w:r w:rsidR="00422B44" w:rsidRPr="00BB4D10">
          <w:rPr>
            <w:rStyle w:val="Hyperlink"/>
            <w:i/>
            <w:iCs/>
            <w:sz w:val="18"/>
            <w:szCs w:val="18"/>
          </w:rPr>
          <w:t>https://doi.org/10.1038/sj.bjc.6605402</w:t>
        </w:r>
      </w:hyperlink>
    </w:p>
    <w:p w14:paraId="37E8C8A2" w14:textId="6021F773" w:rsidR="0066089D" w:rsidRPr="00FB202E" w:rsidRDefault="00FB202E" w:rsidP="00FB2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8"/>
          <w:szCs w:val="18"/>
        </w:rPr>
      </w:pPr>
      <w:r w:rsidRPr="00FB202E">
        <w:rPr>
          <w:i/>
          <w:iCs/>
          <w:sz w:val="18"/>
          <w:szCs w:val="18"/>
        </w:rPr>
        <w:t xml:space="preserve">Nicholson BD, </w:t>
      </w:r>
      <w:proofErr w:type="spellStart"/>
      <w:r w:rsidRPr="00FB202E">
        <w:rPr>
          <w:i/>
          <w:iCs/>
          <w:sz w:val="18"/>
          <w:szCs w:val="18"/>
        </w:rPr>
        <w:t>Mant</w:t>
      </w:r>
      <w:proofErr w:type="spellEnd"/>
      <w:r w:rsidRPr="00FB202E">
        <w:rPr>
          <w:i/>
          <w:iCs/>
          <w:sz w:val="18"/>
          <w:szCs w:val="18"/>
        </w:rPr>
        <w:t xml:space="preserve"> D, Bankhead C</w:t>
      </w:r>
      <w:r>
        <w:rPr>
          <w:i/>
          <w:iCs/>
          <w:sz w:val="18"/>
          <w:szCs w:val="18"/>
        </w:rPr>
        <w:t xml:space="preserve">. </w:t>
      </w:r>
      <w:r w:rsidRPr="00FB202E">
        <w:rPr>
          <w:i/>
          <w:iCs/>
          <w:sz w:val="18"/>
          <w:szCs w:val="18"/>
        </w:rPr>
        <w:t xml:space="preserve"> </w:t>
      </w:r>
      <w:r w:rsidR="0066089D" w:rsidRPr="00FB202E">
        <w:rPr>
          <w:i/>
          <w:iCs/>
          <w:sz w:val="18"/>
          <w:szCs w:val="18"/>
        </w:rPr>
        <w:t>Can safety-netting improve cancer detection in patients with vague symptoms? BMJ 2016</w:t>
      </w:r>
      <w:r w:rsidRPr="00FB202E">
        <w:rPr>
          <w:i/>
          <w:iCs/>
          <w:sz w:val="18"/>
          <w:szCs w:val="18"/>
        </w:rPr>
        <w:t>; 355</w:t>
      </w:r>
      <w:proofErr w:type="gramStart"/>
      <w:r w:rsidRPr="00FB202E">
        <w:rPr>
          <w:i/>
          <w:iCs/>
          <w:sz w:val="18"/>
          <w:szCs w:val="18"/>
        </w:rPr>
        <w:t xml:space="preserve">  </w:t>
      </w:r>
      <w:proofErr w:type="gramEnd"/>
      <w:hyperlink r:id="rId25" w:history="1">
        <w:r w:rsidR="00422B44" w:rsidRPr="00BB4D10">
          <w:rPr>
            <w:rStyle w:val="Hyperlink"/>
            <w:i/>
            <w:iCs/>
            <w:sz w:val="18"/>
            <w:szCs w:val="18"/>
          </w:rPr>
          <w:t>https://doi.org/10.1136/bmj.i5515</w:t>
        </w:r>
      </w:hyperlink>
      <w:r w:rsidR="00422B44">
        <w:rPr>
          <w:i/>
          <w:iCs/>
          <w:sz w:val="18"/>
          <w:szCs w:val="18"/>
        </w:rPr>
        <w:t xml:space="preserve"> </w:t>
      </w:r>
    </w:p>
    <w:p w14:paraId="7865B8F4" w14:textId="77777777" w:rsidR="006C2182" w:rsidRDefault="006C2182">
      <w:pPr>
        <w:rPr>
          <w:iCs/>
          <w:sz w:val="18"/>
          <w:szCs w:val="18"/>
        </w:rPr>
      </w:pPr>
      <w:r>
        <w:rPr>
          <w:iCs/>
          <w:sz w:val="18"/>
          <w:szCs w:val="18"/>
        </w:rPr>
        <w:br w:type="page"/>
      </w:r>
    </w:p>
    <w:p w14:paraId="71755B21" w14:textId="77777777" w:rsidR="006C2182" w:rsidRPr="00D23B6B" w:rsidRDefault="006C2182" w:rsidP="006C2182">
      <w:pPr>
        <w:pStyle w:val="ListParagraph"/>
        <w:numPr>
          <w:ilvl w:val="0"/>
          <w:numId w:val="1"/>
        </w:numPr>
        <w:ind w:left="36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Preventing emergency presentation of cancer</w:t>
      </w:r>
    </w:p>
    <w:p w14:paraId="532E4C21" w14:textId="2A8B00C5" w:rsidR="009A7810" w:rsidRDefault="00490C4D" w:rsidP="006C2182">
      <w:pPr>
        <w:pStyle w:val="ListParagraph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>Emergency diagnosis of cancer is associated with</w:t>
      </w:r>
      <w:r w:rsidR="009A7810">
        <w:rPr>
          <w:b/>
          <w:bCs/>
        </w:rPr>
        <w:t xml:space="preserve"> inferior clinical and patient-reported outcomes, compared with patients diagnosed electively or through screening</w:t>
      </w:r>
    </w:p>
    <w:p w14:paraId="3E35EFCF" w14:textId="74A09965" w:rsidR="006C2182" w:rsidRDefault="00490C4D" w:rsidP="006C2182">
      <w:pPr>
        <w:pStyle w:val="ListParagraph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 xml:space="preserve">Some emergency diagnoses are potentially preventable, as </w:t>
      </w:r>
      <w:r w:rsidR="00462C06">
        <w:rPr>
          <w:b/>
          <w:bCs/>
        </w:rPr>
        <w:t>patients</w:t>
      </w:r>
      <w:r w:rsidR="00260A51">
        <w:rPr>
          <w:b/>
          <w:bCs/>
        </w:rPr>
        <w:t xml:space="preserve"> initially present elsewhere, with symptoms, </w:t>
      </w:r>
      <w:r>
        <w:rPr>
          <w:b/>
          <w:bCs/>
        </w:rPr>
        <w:t>in the health system</w:t>
      </w:r>
    </w:p>
    <w:p w14:paraId="51D3E26D" w14:textId="77777777" w:rsidR="00260A51" w:rsidRDefault="00490C4D" w:rsidP="00260A51">
      <w:pPr>
        <w:pStyle w:val="ListParagraph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 xml:space="preserve">Emergency diagnoses are associated with </w:t>
      </w:r>
      <w:r w:rsidR="0006450B">
        <w:rPr>
          <w:b/>
          <w:bCs/>
        </w:rPr>
        <w:t>age (youngest and oldest), lower socioeconomic status, ethnicity, and multi-morbidity</w:t>
      </w:r>
      <w:r w:rsidR="00260A51" w:rsidRPr="00260A51">
        <w:rPr>
          <w:b/>
          <w:bCs/>
        </w:rPr>
        <w:t xml:space="preserve"> </w:t>
      </w:r>
    </w:p>
    <w:p w14:paraId="71B7F0A1" w14:textId="6199E0D3" w:rsidR="00490C4D" w:rsidRPr="00260A51" w:rsidRDefault="00260A51" w:rsidP="00260A51">
      <w:pPr>
        <w:pStyle w:val="ListParagraph"/>
        <w:numPr>
          <w:ilvl w:val="0"/>
          <w:numId w:val="16"/>
        </w:numPr>
        <w:rPr>
          <w:b/>
          <w:bCs/>
        </w:rPr>
      </w:pPr>
      <w:r w:rsidRPr="0006450B">
        <w:rPr>
          <w:b/>
          <w:bCs/>
        </w:rPr>
        <w:t xml:space="preserve">Considerable research </w:t>
      </w:r>
      <w:r>
        <w:rPr>
          <w:b/>
          <w:bCs/>
        </w:rPr>
        <w:t xml:space="preserve">is </w:t>
      </w:r>
      <w:r w:rsidRPr="0006450B">
        <w:rPr>
          <w:b/>
          <w:bCs/>
        </w:rPr>
        <w:t xml:space="preserve">in progress to try to reduce the proportion of emergency diagnoses </w:t>
      </w:r>
    </w:p>
    <w:p w14:paraId="75633DEF" w14:textId="77777777" w:rsidR="00092FAF" w:rsidRDefault="00092FAF" w:rsidP="006C2182">
      <w:pPr>
        <w:rPr>
          <w:b/>
          <w:bCs/>
          <w:i/>
          <w:iCs/>
        </w:rPr>
      </w:pPr>
    </w:p>
    <w:p w14:paraId="48802063" w14:textId="77777777" w:rsidR="006C2182" w:rsidRPr="00D23B6B" w:rsidRDefault="006C2182" w:rsidP="006C2182">
      <w:pPr>
        <w:rPr>
          <w:b/>
          <w:bCs/>
          <w:i/>
          <w:iCs/>
        </w:rPr>
      </w:pPr>
      <w:r w:rsidRPr="00D23B6B">
        <w:rPr>
          <w:b/>
          <w:bCs/>
          <w:i/>
          <w:iCs/>
        </w:rPr>
        <w:t>KEY PRIORITIES:</w:t>
      </w:r>
    </w:p>
    <w:p w14:paraId="76675EF0" w14:textId="5FA352CF" w:rsidR="006C2182" w:rsidRDefault="0006450B" w:rsidP="006C2182">
      <w:pPr>
        <w:pStyle w:val="ListParagraph"/>
        <w:numPr>
          <w:ilvl w:val="0"/>
          <w:numId w:val="4"/>
        </w:numPr>
        <w:rPr>
          <w:i/>
          <w:iCs/>
        </w:rPr>
      </w:pPr>
      <w:r>
        <w:rPr>
          <w:i/>
          <w:iCs/>
        </w:rPr>
        <w:t>Develop local priorities for reducing emergency diagnoses locally</w:t>
      </w:r>
    </w:p>
    <w:p w14:paraId="76A98013" w14:textId="5DF718F3" w:rsidR="0006450B" w:rsidRDefault="0006450B" w:rsidP="006C2182">
      <w:pPr>
        <w:pStyle w:val="ListParagraph"/>
        <w:numPr>
          <w:ilvl w:val="0"/>
          <w:numId w:val="4"/>
        </w:numPr>
        <w:rPr>
          <w:i/>
          <w:iCs/>
        </w:rPr>
      </w:pPr>
      <w:r>
        <w:rPr>
          <w:i/>
          <w:iCs/>
        </w:rPr>
        <w:t xml:space="preserve">Ensure all other health systems for cancer diagnosis are optimal (screening programmes, symptom awareness, access to primary care, primary care </w:t>
      </w:r>
      <w:r w:rsidR="007564C0">
        <w:rPr>
          <w:i/>
          <w:iCs/>
        </w:rPr>
        <w:t>diagnostics</w:t>
      </w:r>
      <w:r>
        <w:rPr>
          <w:i/>
          <w:iCs/>
        </w:rPr>
        <w:t xml:space="preserve">, access </w:t>
      </w:r>
      <w:r w:rsidR="007564C0">
        <w:rPr>
          <w:i/>
          <w:iCs/>
        </w:rPr>
        <w:t>to</w:t>
      </w:r>
      <w:r>
        <w:rPr>
          <w:i/>
          <w:iCs/>
        </w:rPr>
        <w:t xml:space="preserve"> investigations and specialist services</w:t>
      </w:r>
    </w:p>
    <w:p w14:paraId="6FCAE1E3" w14:textId="5548B41B" w:rsidR="0006450B" w:rsidRDefault="0006450B" w:rsidP="006C2182">
      <w:pPr>
        <w:pStyle w:val="ListParagraph"/>
        <w:numPr>
          <w:ilvl w:val="0"/>
          <w:numId w:val="4"/>
        </w:numPr>
        <w:rPr>
          <w:i/>
          <w:iCs/>
        </w:rPr>
      </w:pPr>
      <w:r>
        <w:rPr>
          <w:i/>
          <w:iCs/>
        </w:rPr>
        <w:t>Improving care for emergency presenters</w:t>
      </w:r>
    </w:p>
    <w:p w14:paraId="658C03A8" w14:textId="607829FC" w:rsidR="006C2182" w:rsidRDefault="009B31AF" w:rsidP="006C2182">
      <w:pPr>
        <w:pStyle w:val="ListParagraph"/>
        <w:numPr>
          <w:ilvl w:val="0"/>
          <w:numId w:val="4"/>
        </w:numPr>
        <w:rPr>
          <w:i/>
          <w:iCs/>
        </w:rPr>
      </w:pPr>
      <w:r>
        <w:rPr>
          <w:i/>
          <w:iCs/>
        </w:rPr>
        <w:t>Encourage participation in the case control study</w:t>
      </w:r>
      <w:r w:rsidR="00490C4D">
        <w:rPr>
          <w:i/>
          <w:iCs/>
        </w:rPr>
        <w:t xml:space="preserve"> of emergency diagnosis</w:t>
      </w:r>
      <w:r w:rsidR="0006450B">
        <w:rPr>
          <w:i/>
          <w:iCs/>
        </w:rPr>
        <w:t xml:space="preserve"> (EMPRESS)</w:t>
      </w:r>
    </w:p>
    <w:p w14:paraId="47752849" w14:textId="77777777" w:rsidR="006C2182" w:rsidRDefault="006C2182" w:rsidP="006C2182">
      <w:pPr>
        <w:pStyle w:val="ListParagraph"/>
        <w:ind w:left="360"/>
        <w:rPr>
          <w:i/>
          <w:iCs/>
        </w:rPr>
      </w:pPr>
    </w:p>
    <w:p w14:paraId="566D400F" w14:textId="6A658702" w:rsidR="0006450B" w:rsidRPr="006E05E4" w:rsidRDefault="00462C06" w:rsidP="0006450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sz w:val="18"/>
          <w:szCs w:val="18"/>
        </w:rPr>
      </w:pPr>
      <w:r w:rsidRPr="006E05E4">
        <w:rPr>
          <w:i/>
          <w:sz w:val="18"/>
          <w:szCs w:val="18"/>
        </w:rPr>
        <w:t>Zhou Y et al. Diagnosis of cancer as an emergency: a critical review of current evidence. Nature Reviews Clinical Oncology</w:t>
      </w:r>
      <w:r w:rsidR="00422B44" w:rsidRPr="006E05E4">
        <w:rPr>
          <w:i/>
          <w:sz w:val="18"/>
          <w:szCs w:val="18"/>
        </w:rPr>
        <w:t xml:space="preserve"> (2016)</w:t>
      </w:r>
      <w:r w:rsidR="00422B44">
        <w:rPr>
          <w:i/>
          <w:sz w:val="18"/>
          <w:szCs w:val="18"/>
        </w:rPr>
        <w:t>.</w:t>
      </w:r>
      <w:r w:rsidRPr="006E05E4">
        <w:rPr>
          <w:i/>
          <w:sz w:val="18"/>
          <w:szCs w:val="18"/>
        </w:rPr>
        <w:t xml:space="preserve"> </w:t>
      </w:r>
      <w:hyperlink r:id="rId26" w:history="1">
        <w:r w:rsidR="00422B44" w:rsidRPr="00BB4D10">
          <w:rPr>
            <w:rStyle w:val="Hyperlink"/>
            <w:i/>
            <w:sz w:val="18"/>
            <w:szCs w:val="18"/>
          </w:rPr>
          <w:t>http://dx.doi.org/10.1038/nrclinonc.2016.155</w:t>
        </w:r>
      </w:hyperlink>
      <w:r w:rsidR="00422B44">
        <w:rPr>
          <w:i/>
          <w:sz w:val="18"/>
          <w:szCs w:val="18"/>
        </w:rPr>
        <w:t xml:space="preserve"> </w:t>
      </w:r>
    </w:p>
    <w:p w14:paraId="082E5700" w14:textId="2CE3C502" w:rsidR="006261FD" w:rsidRPr="006E05E4" w:rsidRDefault="00D45BCB" w:rsidP="0006450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Cs/>
          <w:i/>
          <w:sz w:val="18"/>
          <w:szCs w:val="18"/>
        </w:rPr>
      </w:pPr>
      <w:hyperlink r:id="rId27" w:history="1">
        <w:proofErr w:type="spellStart"/>
        <w:r w:rsidR="006261FD" w:rsidRPr="006E05E4">
          <w:rPr>
            <w:bCs/>
            <w:i/>
            <w:sz w:val="18"/>
            <w:szCs w:val="18"/>
          </w:rPr>
          <w:t>Elliss</w:t>
        </w:r>
        <w:proofErr w:type="spellEnd"/>
        <w:r w:rsidR="006261FD" w:rsidRPr="006E05E4">
          <w:rPr>
            <w:bCs/>
            <w:i/>
            <w:sz w:val="18"/>
            <w:szCs w:val="18"/>
          </w:rPr>
          <w:t>-Brookes L</w:t>
        </w:r>
      </w:hyperlink>
      <w:r w:rsidR="006261FD" w:rsidRPr="006E05E4">
        <w:rPr>
          <w:bCs/>
          <w:i/>
          <w:sz w:val="18"/>
          <w:szCs w:val="18"/>
        </w:rPr>
        <w:t>, </w:t>
      </w:r>
      <w:hyperlink r:id="rId28" w:history="1">
        <w:r w:rsidR="006261FD" w:rsidRPr="006E05E4">
          <w:rPr>
            <w:bCs/>
            <w:i/>
            <w:sz w:val="18"/>
            <w:szCs w:val="18"/>
          </w:rPr>
          <w:t>McPhail S</w:t>
        </w:r>
      </w:hyperlink>
      <w:r w:rsidR="006261FD" w:rsidRPr="006E05E4">
        <w:rPr>
          <w:bCs/>
          <w:i/>
          <w:sz w:val="18"/>
          <w:szCs w:val="18"/>
        </w:rPr>
        <w:t>, </w:t>
      </w:r>
      <w:hyperlink r:id="rId29" w:history="1">
        <w:r w:rsidR="006261FD" w:rsidRPr="006E05E4">
          <w:rPr>
            <w:bCs/>
            <w:i/>
            <w:sz w:val="18"/>
            <w:szCs w:val="18"/>
          </w:rPr>
          <w:t>Ives A</w:t>
        </w:r>
      </w:hyperlink>
      <w:r w:rsidR="006261FD" w:rsidRPr="006E05E4">
        <w:rPr>
          <w:bCs/>
          <w:i/>
          <w:sz w:val="18"/>
          <w:szCs w:val="18"/>
        </w:rPr>
        <w:t>, </w:t>
      </w:r>
      <w:proofErr w:type="spellStart"/>
      <w:r w:rsidR="006261FD" w:rsidRPr="006E05E4">
        <w:rPr>
          <w:bCs/>
          <w:i/>
          <w:sz w:val="18"/>
          <w:szCs w:val="18"/>
        </w:rPr>
        <w:fldChar w:fldCharType="begin"/>
      </w:r>
      <w:r w:rsidR="006261FD" w:rsidRPr="006E05E4">
        <w:rPr>
          <w:bCs/>
          <w:i/>
          <w:sz w:val="18"/>
          <w:szCs w:val="18"/>
        </w:rPr>
        <w:instrText xml:space="preserve"> HYPERLINK "https://www.ncbi.nlm.nih.gov/pubmed/?term=Greenslade%20M%5BAuthor%5D&amp;cauthor=true&amp;cauthor_uid=22996611" </w:instrText>
      </w:r>
      <w:r w:rsidR="006261FD" w:rsidRPr="006E05E4">
        <w:rPr>
          <w:bCs/>
          <w:i/>
          <w:sz w:val="18"/>
          <w:szCs w:val="18"/>
        </w:rPr>
        <w:fldChar w:fldCharType="separate"/>
      </w:r>
      <w:r w:rsidR="006261FD" w:rsidRPr="006E05E4">
        <w:rPr>
          <w:bCs/>
          <w:i/>
          <w:sz w:val="18"/>
          <w:szCs w:val="18"/>
        </w:rPr>
        <w:t>Greenslade</w:t>
      </w:r>
      <w:proofErr w:type="spellEnd"/>
      <w:r w:rsidR="006261FD" w:rsidRPr="006E05E4">
        <w:rPr>
          <w:bCs/>
          <w:i/>
          <w:sz w:val="18"/>
          <w:szCs w:val="18"/>
        </w:rPr>
        <w:t xml:space="preserve"> M</w:t>
      </w:r>
      <w:r w:rsidR="006261FD" w:rsidRPr="006E05E4">
        <w:rPr>
          <w:bCs/>
          <w:i/>
          <w:sz w:val="18"/>
          <w:szCs w:val="18"/>
        </w:rPr>
        <w:fldChar w:fldCharType="end"/>
      </w:r>
      <w:r w:rsidR="006261FD" w:rsidRPr="006E05E4">
        <w:rPr>
          <w:bCs/>
          <w:i/>
          <w:sz w:val="18"/>
          <w:szCs w:val="18"/>
        </w:rPr>
        <w:t>, </w:t>
      </w:r>
      <w:hyperlink r:id="rId30" w:history="1">
        <w:r w:rsidR="006261FD" w:rsidRPr="006E05E4">
          <w:rPr>
            <w:bCs/>
            <w:i/>
            <w:sz w:val="18"/>
            <w:szCs w:val="18"/>
          </w:rPr>
          <w:t>Shelton J</w:t>
        </w:r>
      </w:hyperlink>
      <w:r w:rsidR="006261FD" w:rsidRPr="006E05E4">
        <w:rPr>
          <w:bCs/>
          <w:i/>
          <w:sz w:val="18"/>
          <w:szCs w:val="18"/>
        </w:rPr>
        <w:t>, </w:t>
      </w:r>
      <w:proofErr w:type="spellStart"/>
      <w:r w:rsidR="00A44A3F" w:rsidRPr="006E05E4">
        <w:rPr>
          <w:i/>
        </w:rPr>
        <w:fldChar w:fldCharType="begin"/>
      </w:r>
      <w:r w:rsidR="00A44A3F" w:rsidRPr="006E05E4">
        <w:rPr>
          <w:i/>
        </w:rPr>
        <w:instrText xml:space="preserve"> HYPERLINK "https://www.ncbi.nlm.nih.gov/pubmed/?term=Hiom%20S%5BAuthor%5D&amp;cauthor=true&amp;cauthor_uid=22996611" </w:instrText>
      </w:r>
      <w:r w:rsidR="00A44A3F" w:rsidRPr="006E05E4">
        <w:rPr>
          <w:i/>
        </w:rPr>
        <w:fldChar w:fldCharType="separate"/>
      </w:r>
      <w:r w:rsidR="006261FD" w:rsidRPr="006E05E4">
        <w:rPr>
          <w:bCs/>
          <w:i/>
          <w:sz w:val="18"/>
          <w:szCs w:val="18"/>
        </w:rPr>
        <w:t>Hiom</w:t>
      </w:r>
      <w:proofErr w:type="spellEnd"/>
      <w:r w:rsidR="006261FD" w:rsidRPr="006E05E4">
        <w:rPr>
          <w:bCs/>
          <w:i/>
          <w:sz w:val="18"/>
          <w:szCs w:val="18"/>
        </w:rPr>
        <w:t xml:space="preserve"> S</w:t>
      </w:r>
      <w:r w:rsidR="00A44A3F" w:rsidRPr="006E05E4">
        <w:rPr>
          <w:bCs/>
          <w:i/>
          <w:sz w:val="18"/>
          <w:szCs w:val="18"/>
        </w:rPr>
        <w:fldChar w:fldCharType="end"/>
      </w:r>
      <w:r w:rsidR="006261FD" w:rsidRPr="006E05E4">
        <w:rPr>
          <w:bCs/>
          <w:i/>
          <w:sz w:val="18"/>
          <w:szCs w:val="18"/>
        </w:rPr>
        <w:t>, </w:t>
      </w:r>
      <w:hyperlink r:id="rId31" w:history="1">
        <w:r w:rsidR="006261FD" w:rsidRPr="006E05E4">
          <w:rPr>
            <w:bCs/>
            <w:i/>
            <w:sz w:val="18"/>
            <w:szCs w:val="18"/>
          </w:rPr>
          <w:t>Richards M</w:t>
        </w:r>
      </w:hyperlink>
      <w:r w:rsidR="006261FD" w:rsidRPr="006E05E4">
        <w:rPr>
          <w:bCs/>
          <w:i/>
          <w:sz w:val="18"/>
          <w:szCs w:val="18"/>
        </w:rPr>
        <w:t xml:space="preserve">. Routes to diagnosis for cancer - determining the patient journey using multiple routine data sets. </w:t>
      </w:r>
      <w:hyperlink r:id="rId32" w:tooltip="British journal of cancer." w:history="1">
        <w:r w:rsidR="006261FD" w:rsidRPr="006E05E4">
          <w:rPr>
            <w:bCs/>
            <w:i/>
            <w:sz w:val="18"/>
            <w:szCs w:val="18"/>
          </w:rPr>
          <w:t>Br J Cancer.</w:t>
        </w:r>
      </w:hyperlink>
      <w:r w:rsidR="006261FD" w:rsidRPr="006E05E4">
        <w:rPr>
          <w:bCs/>
          <w:i/>
          <w:sz w:val="18"/>
          <w:szCs w:val="18"/>
        </w:rPr>
        <w:t> 2012 107(8):1220-6.</w:t>
      </w:r>
      <w:r w:rsidR="00422B44">
        <w:rPr>
          <w:bCs/>
          <w:i/>
          <w:sz w:val="18"/>
          <w:szCs w:val="18"/>
        </w:rPr>
        <w:t xml:space="preserve"> </w:t>
      </w:r>
      <w:hyperlink r:id="rId33" w:history="1">
        <w:r w:rsidR="00422B44" w:rsidRPr="00BB4D10">
          <w:rPr>
            <w:rStyle w:val="Hyperlink"/>
            <w:bCs/>
            <w:i/>
            <w:sz w:val="18"/>
            <w:szCs w:val="18"/>
          </w:rPr>
          <w:t>https://doi.org/10.1038/bjc.2012.408</w:t>
        </w:r>
      </w:hyperlink>
      <w:r w:rsidR="006261FD" w:rsidRPr="006E05E4">
        <w:rPr>
          <w:bCs/>
          <w:i/>
          <w:sz w:val="18"/>
          <w:szCs w:val="18"/>
        </w:rPr>
        <w:t xml:space="preserve">. </w:t>
      </w:r>
    </w:p>
    <w:p w14:paraId="42D39452" w14:textId="10DC6FC7" w:rsidR="006C2182" w:rsidRPr="006E05E4" w:rsidRDefault="0006450B" w:rsidP="0006450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iCs/>
          <w:sz w:val="18"/>
          <w:szCs w:val="18"/>
        </w:rPr>
      </w:pPr>
      <w:r w:rsidRPr="006E05E4">
        <w:rPr>
          <w:i/>
          <w:iCs/>
          <w:sz w:val="18"/>
          <w:szCs w:val="18"/>
        </w:rPr>
        <w:t>Wallace D et al. Identifying patients at risk of emergency admissions for colorectal cancer. Br J Cancer 111, 577-580 (2014)</w:t>
      </w:r>
      <w:r w:rsidR="00422B44">
        <w:rPr>
          <w:i/>
          <w:iCs/>
          <w:sz w:val="18"/>
          <w:szCs w:val="18"/>
        </w:rPr>
        <w:t xml:space="preserve"> </w:t>
      </w:r>
      <w:hyperlink r:id="rId34" w:history="1">
        <w:r w:rsidR="00422B44" w:rsidRPr="00422B44">
          <w:rPr>
            <w:rStyle w:val="Hyperlink"/>
            <w:i/>
            <w:iCs/>
            <w:sz w:val="18"/>
            <w:szCs w:val="18"/>
          </w:rPr>
          <w:t>https://doi.org/</w:t>
        </w:r>
        <w:r w:rsidR="00422B44" w:rsidRPr="00422B44">
          <w:rPr>
            <w:rStyle w:val="Hyperlink"/>
            <w:rFonts w:ascii="Arial" w:hAnsi="Arial" w:cs="Arial"/>
            <w:i/>
            <w:sz w:val="16"/>
            <w:szCs w:val="16"/>
            <w:shd w:val="clear" w:color="auto" w:fill="FFFFFF"/>
          </w:rPr>
          <w:t>10.1038/bjc.2014.300</w:t>
        </w:r>
      </w:hyperlink>
      <w:r w:rsidR="00422B44">
        <w:rPr>
          <w:i/>
          <w:iCs/>
          <w:sz w:val="18"/>
          <w:szCs w:val="18"/>
        </w:rPr>
        <w:t xml:space="preserve"> </w:t>
      </w:r>
    </w:p>
    <w:p w14:paraId="49EDE262" w14:textId="77777777" w:rsidR="006C2182" w:rsidRPr="006C2182" w:rsidRDefault="006C2182" w:rsidP="006C2182">
      <w:pPr>
        <w:rPr>
          <w:iCs/>
          <w:sz w:val="18"/>
          <w:szCs w:val="18"/>
        </w:rPr>
      </w:pPr>
    </w:p>
    <w:p w14:paraId="4612A636" w14:textId="77777777" w:rsidR="006C2182" w:rsidRPr="006C2182" w:rsidRDefault="006C2182" w:rsidP="006C2182">
      <w:pPr>
        <w:rPr>
          <w:iCs/>
          <w:sz w:val="18"/>
          <w:szCs w:val="18"/>
        </w:rPr>
      </w:pPr>
    </w:p>
    <w:p w14:paraId="547F52F0" w14:textId="77777777" w:rsidR="006C2182" w:rsidRPr="006C2182" w:rsidRDefault="006C2182" w:rsidP="006C2182">
      <w:pPr>
        <w:rPr>
          <w:iCs/>
          <w:sz w:val="18"/>
          <w:szCs w:val="18"/>
        </w:rPr>
      </w:pPr>
    </w:p>
    <w:p w14:paraId="339D9B8D" w14:textId="77777777" w:rsidR="006C2182" w:rsidRPr="006C2182" w:rsidRDefault="006C2182" w:rsidP="006C2182">
      <w:pPr>
        <w:rPr>
          <w:iCs/>
          <w:sz w:val="18"/>
          <w:szCs w:val="18"/>
        </w:rPr>
      </w:pPr>
    </w:p>
    <w:p w14:paraId="40654C4F" w14:textId="77777777" w:rsidR="006C2182" w:rsidRPr="006C2182" w:rsidRDefault="006C2182" w:rsidP="006C2182">
      <w:pPr>
        <w:rPr>
          <w:iCs/>
          <w:sz w:val="18"/>
          <w:szCs w:val="18"/>
        </w:rPr>
      </w:pPr>
    </w:p>
    <w:p w14:paraId="092D559C" w14:textId="77777777" w:rsidR="006C2182" w:rsidRPr="006C2182" w:rsidRDefault="006C2182" w:rsidP="006C2182">
      <w:pPr>
        <w:rPr>
          <w:iCs/>
          <w:sz w:val="18"/>
          <w:szCs w:val="18"/>
        </w:rPr>
      </w:pPr>
    </w:p>
    <w:p w14:paraId="2B39EC28" w14:textId="77777777" w:rsidR="006C2182" w:rsidRPr="006C2182" w:rsidRDefault="006C2182" w:rsidP="006C2182">
      <w:pPr>
        <w:rPr>
          <w:iCs/>
          <w:sz w:val="18"/>
          <w:szCs w:val="18"/>
        </w:rPr>
      </w:pPr>
    </w:p>
    <w:sectPr w:rsidR="006C2182" w:rsidRPr="006C2182">
      <w:headerReference w:type="default" r:id="rId35"/>
      <w:footerReference w:type="default" r:id="rId3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824FD" w14:textId="77777777" w:rsidR="00A44A3F" w:rsidRDefault="00A44A3F" w:rsidP="00025ECB">
      <w:pPr>
        <w:spacing w:after="0" w:line="240" w:lineRule="auto"/>
      </w:pPr>
      <w:r>
        <w:separator/>
      </w:r>
    </w:p>
  </w:endnote>
  <w:endnote w:type="continuationSeparator" w:id="0">
    <w:p w14:paraId="13284ABD" w14:textId="77777777" w:rsidR="00A44A3F" w:rsidRDefault="00A44A3F" w:rsidP="00025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2005C" w14:textId="77777777" w:rsidR="00357BBA" w:rsidRDefault="00357BBA" w:rsidP="00357BBA">
    <w:pPr>
      <w:pStyle w:val="Footer"/>
      <w:jc w:val="center"/>
    </w:pPr>
    <w:r>
      <w:rPr>
        <w:noProof/>
        <w:lang w:eastAsia="en-GB"/>
      </w:rPr>
      <w:drawing>
        <wp:inline distT="0" distB="0" distL="0" distR="0" wp14:anchorId="156DD2D9" wp14:editId="313E9DE2">
          <wp:extent cx="1593716" cy="643897"/>
          <wp:effectExtent l="0" t="0" r="6985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722" cy="664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5E931" w14:textId="77777777" w:rsidR="00A44A3F" w:rsidRDefault="00A44A3F" w:rsidP="00025ECB">
      <w:pPr>
        <w:spacing w:after="0" w:line="240" w:lineRule="auto"/>
      </w:pPr>
      <w:r>
        <w:separator/>
      </w:r>
    </w:p>
  </w:footnote>
  <w:footnote w:type="continuationSeparator" w:id="0">
    <w:p w14:paraId="4A7A6577" w14:textId="77777777" w:rsidR="00A44A3F" w:rsidRDefault="00A44A3F" w:rsidP="00025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25146" w14:textId="77777777" w:rsidR="00025ECB" w:rsidRPr="00463D42" w:rsidRDefault="00025ECB" w:rsidP="00357BBA">
    <w:pPr>
      <w:jc w:val="center"/>
      <w:rPr>
        <w:b/>
        <w:bCs/>
        <w:sz w:val="32"/>
        <w:szCs w:val="32"/>
      </w:rPr>
    </w:pPr>
    <w:r w:rsidRPr="00463D42">
      <w:rPr>
        <w:b/>
        <w:bCs/>
        <w:sz w:val="32"/>
        <w:szCs w:val="32"/>
      </w:rPr>
      <w:t xml:space="preserve">Academic Unit of </w:t>
    </w:r>
    <w:r w:rsidR="00125AAC">
      <w:rPr>
        <w:b/>
        <w:bCs/>
        <w:sz w:val="32"/>
        <w:szCs w:val="32"/>
      </w:rPr>
      <w:t>Primary</w:t>
    </w:r>
    <w:r w:rsidRPr="00463D42">
      <w:rPr>
        <w:b/>
        <w:bCs/>
        <w:sz w:val="32"/>
        <w:szCs w:val="32"/>
      </w:rPr>
      <w:t xml:space="preserve"> Care</w:t>
    </w:r>
  </w:p>
  <w:p w14:paraId="3D64D4AE" w14:textId="77777777" w:rsidR="00025ECB" w:rsidRPr="00463D42" w:rsidRDefault="00025ECB" w:rsidP="00025ECB">
    <w:pPr>
      <w:jc w:val="center"/>
      <w:rPr>
        <w:b/>
        <w:bCs/>
        <w:sz w:val="32"/>
        <w:szCs w:val="32"/>
      </w:rPr>
    </w:pPr>
    <w:r w:rsidRPr="00463D42">
      <w:rPr>
        <w:b/>
        <w:bCs/>
        <w:sz w:val="32"/>
        <w:szCs w:val="32"/>
      </w:rPr>
      <w:t>Leeds Institute of Health Sciences, University of Leeds</w:t>
    </w:r>
  </w:p>
  <w:p w14:paraId="603FEECD" w14:textId="77777777" w:rsidR="00025ECB" w:rsidRDefault="00025E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74DC"/>
    <w:multiLevelType w:val="hybridMultilevel"/>
    <w:tmpl w:val="BDBC6320"/>
    <w:lvl w:ilvl="0" w:tplc="B2027CF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567EBB"/>
    <w:multiLevelType w:val="hybridMultilevel"/>
    <w:tmpl w:val="509CD322"/>
    <w:lvl w:ilvl="0" w:tplc="087CD9C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FA7BA9"/>
    <w:multiLevelType w:val="hybridMultilevel"/>
    <w:tmpl w:val="93F46474"/>
    <w:lvl w:ilvl="0" w:tplc="4EE06A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847A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828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D4C1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6AA3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F8A9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A492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D8CC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7033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D647E9"/>
    <w:multiLevelType w:val="hybridMultilevel"/>
    <w:tmpl w:val="0AC6C1D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9F2225"/>
    <w:multiLevelType w:val="hybridMultilevel"/>
    <w:tmpl w:val="21806D5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5633BE"/>
    <w:multiLevelType w:val="hybridMultilevel"/>
    <w:tmpl w:val="FEC0A460"/>
    <w:lvl w:ilvl="0" w:tplc="5EDCB1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FC2B46"/>
    <w:multiLevelType w:val="hybridMultilevel"/>
    <w:tmpl w:val="32B0F82E"/>
    <w:lvl w:ilvl="0" w:tplc="334C5A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E14B0"/>
    <w:multiLevelType w:val="hybridMultilevel"/>
    <w:tmpl w:val="BCAC9D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63390"/>
    <w:multiLevelType w:val="hybridMultilevel"/>
    <w:tmpl w:val="9C1094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AF3B2F"/>
    <w:multiLevelType w:val="hybridMultilevel"/>
    <w:tmpl w:val="8D6A8E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35BD4"/>
    <w:multiLevelType w:val="multilevel"/>
    <w:tmpl w:val="497A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404C7C"/>
    <w:multiLevelType w:val="hybridMultilevel"/>
    <w:tmpl w:val="0F5461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A07F18"/>
    <w:multiLevelType w:val="hybridMultilevel"/>
    <w:tmpl w:val="1E04E75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5532F8"/>
    <w:multiLevelType w:val="hybridMultilevel"/>
    <w:tmpl w:val="0F0C8046"/>
    <w:lvl w:ilvl="0" w:tplc="8E4456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2CD4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B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AEFA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74EF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6E9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FE0F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E2B8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883D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6E6565"/>
    <w:multiLevelType w:val="hybridMultilevel"/>
    <w:tmpl w:val="A4FAACC0"/>
    <w:lvl w:ilvl="0" w:tplc="8722BF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312D0"/>
    <w:multiLevelType w:val="hybridMultilevel"/>
    <w:tmpl w:val="F3A24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A929EB"/>
    <w:multiLevelType w:val="multilevel"/>
    <w:tmpl w:val="9FFC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A360BD"/>
    <w:multiLevelType w:val="hybridMultilevel"/>
    <w:tmpl w:val="5D8EA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B5841"/>
    <w:multiLevelType w:val="hybridMultilevel"/>
    <w:tmpl w:val="04A47894"/>
    <w:lvl w:ilvl="0" w:tplc="3618B68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6A7E16"/>
    <w:multiLevelType w:val="hybridMultilevel"/>
    <w:tmpl w:val="C9D8FA02"/>
    <w:lvl w:ilvl="0" w:tplc="CC42774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0376EA"/>
    <w:multiLevelType w:val="multilevel"/>
    <w:tmpl w:val="5F025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0821C8"/>
    <w:multiLevelType w:val="hybridMultilevel"/>
    <w:tmpl w:val="60C2557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72B6C90"/>
    <w:multiLevelType w:val="hybridMultilevel"/>
    <w:tmpl w:val="1D36FDB6"/>
    <w:lvl w:ilvl="0" w:tplc="90A69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8775249"/>
    <w:multiLevelType w:val="hybridMultilevel"/>
    <w:tmpl w:val="268404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DA73FC8"/>
    <w:multiLevelType w:val="multilevel"/>
    <w:tmpl w:val="2DB2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0"/>
  </w:num>
  <w:num w:numId="3">
    <w:abstractNumId w:val="14"/>
  </w:num>
  <w:num w:numId="4">
    <w:abstractNumId w:val="11"/>
  </w:num>
  <w:num w:numId="5">
    <w:abstractNumId w:val="22"/>
  </w:num>
  <w:num w:numId="6">
    <w:abstractNumId w:val="15"/>
  </w:num>
  <w:num w:numId="7">
    <w:abstractNumId w:val="6"/>
  </w:num>
  <w:num w:numId="8">
    <w:abstractNumId w:val="1"/>
  </w:num>
  <w:num w:numId="9">
    <w:abstractNumId w:val="19"/>
  </w:num>
  <w:num w:numId="10">
    <w:abstractNumId w:val="8"/>
  </w:num>
  <w:num w:numId="11">
    <w:abstractNumId w:val="23"/>
  </w:num>
  <w:num w:numId="12">
    <w:abstractNumId w:val="5"/>
  </w:num>
  <w:num w:numId="13">
    <w:abstractNumId w:val="21"/>
  </w:num>
  <w:num w:numId="14">
    <w:abstractNumId w:val="3"/>
  </w:num>
  <w:num w:numId="15">
    <w:abstractNumId w:val="12"/>
  </w:num>
  <w:num w:numId="16">
    <w:abstractNumId w:val="4"/>
  </w:num>
  <w:num w:numId="17">
    <w:abstractNumId w:val="18"/>
  </w:num>
  <w:num w:numId="18">
    <w:abstractNumId w:val="9"/>
  </w:num>
  <w:num w:numId="19">
    <w:abstractNumId w:val="7"/>
  </w:num>
  <w:num w:numId="20">
    <w:abstractNumId w:val="20"/>
  </w:num>
  <w:num w:numId="21">
    <w:abstractNumId w:val="13"/>
  </w:num>
  <w:num w:numId="22">
    <w:abstractNumId w:val="2"/>
  </w:num>
  <w:num w:numId="23">
    <w:abstractNumId w:val="16"/>
  </w:num>
  <w:num w:numId="24">
    <w:abstractNumId w:val="1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42"/>
    <w:rsid w:val="00012E9F"/>
    <w:rsid w:val="00025ECB"/>
    <w:rsid w:val="00063EEB"/>
    <w:rsid w:val="0006450B"/>
    <w:rsid w:val="00092FAF"/>
    <w:rsid w:val="000C2E49"/>
    <w:rsid w:val="001157CE"/>
    <w:rsid w:val="00123E03"/>
    <w:rsid w:val="00125AAC"/>
    <w:rsid w:val="001E6C0F"/>
    <w:rsid w:val="00224FE2"/>
    <w:rsid w:val="0022799A"/>
    <w:rsid w:val="00260A51"/>
    <w:rsid w:val="0028415A"/>
    <w:rsid w:val="00291E1B"/>
    <w:rsid w:val="003050F9"/>
    <w:rsid w:val="00311FB1"/>
    <w:rsid w:val="00317C04"/>
    <w:rsid w:val="00326DD9"/>
    <w:rsid w:val="0035796C"/>
    <w:rsid w:val="00357BBA"/>
    <w:rsid w:val="00374F2E"/>
    <w:rsid w:val="00387467"/>
    <w:rsid w:val="003D2C60"/>
    <w:rsid w:val="003E093D"/>
    <w:rsid w:val="00422B44"/>
    <w:rsid w:val="00440D3E"/>
    <w:rsid w:val="00462C06"/>
    <w:rsid w:val="00463D42"/>
    <w:rsid w:val="00490C4D"/>
    <w:rsid w:val="004F78A7"/>
    <w:rsid w:val="00533BD6"/>
    <w:rsid w:val="00552CEA"/>
    <w:rsid w:val="005773B5"/>
    <w:rsid w:val="005D1969"/>
    <w:rsid w:val="005F3C96"/>
    <w:rsid w:val="006261FD"/>
    <w:rsid w:val="0066089D"/>
    <w:rsid w:val="00674A81"/>
    <w:rsid w:val="00684E2B"/>
    <w:rsid w:val="00685A20"/>
    <w:rsid w:val="006C2182"/>
    <w:rsid w:val="006D0CCA"/>
    <w:rsid w:val="006E05E4"/>
    <w:rsid w:val="006F2BCB"/>
    <w:rsid w:val="00721CEE"/>
    <w:rsid w:val="007412F9"/>
    <w:rsid w:val="00753808"/>
    <w:rsid w:val="0075563C"/>
    <w:rsid w:val="007564C0"/>
    <w:rsid w:val="00792CBB"/>
    <w:rsid w:val="007C355A"/>
    <w:rsid w:val="007E5CC6"/>
    <w:rsid w:val="007F7BE1"/>
    <w:rsid w:val="0082066C"/>
    <w:rsid w:val="00823AE9"/>
    <w:rsid w:val="008871C0"/>
    <w:rsid w:val="008F75EB"/>
    <w:rsid w:val="00937C5C"/>
    <w:rsid w:val="009A7810"/>
    <w:rsid w:val="009B31AF"/>
    <w:rsid w:val="009D41AD"/>
    <w:rsid w:val="009D7AC7"/>
    <w:rsid w:val="00A02080"/>
    <w:rsid w:val="00A44A3F"/>
    <w:rsid w:val="00A70FA6"/>
    <w:rsid w:val="00A937C1"/>
    <w:rsid w:val="00AA49CA"/>
    <w:rsid w:val="00B03462"/>
    <w:rsid w:val="00B22A22"/>
    <w:rsid w:val="00B41491"/>
    <w:rsid w:val="00B55B29"/>
    <w:rsid w:val="00B63AB1"/>
    <w:rsid w:val="00B854BE"/>
    <w:rsid w:val="00BC29BA"/>
    <w:rsid w:val="00BC7CA2"/>
    <w:rsid w:val="00C1401B"/>
    <w:rsid w:val="00C4328C"/>
    <w:rsid w:val="00C440D8"/>
    <w:rsid w:val="00C6577A"/>
    <w:rsid w:val="00CE329D"/>
    <w:rsid w:val="00D23B6B"/>
    <w:rsid w:val="00D308E9"/>
    <w:rsid w:val="00D43CC9"/>
    <w:rsid w:val="00D45BCB"/>
    <w:rsid w:val="00D50329"/>
    <w:rsid w:val="00D81692"/>
    <w:rsid w:val="00D908E7"/>
    <w:rsid w:val="00D92FC6"/>
    <w:rsid w:val="00DF090B"/>
    <w:rsid w:val="00E1729D"/>
    <w:rsid w:val="00E65207"/>
    <w:rsid w:val="00E7673B"/>
    <w:rsid w:val="00E87104"/>
    <w:rsid w:val="00E972EB"/>
    <w:rsid w:val="00EC47F1"/>
    <w:rsid w:val="00F40786"/>
    <w:rsid w:val="00F47F15"/>
    <w:rsid w:val="00F51808"/>
    <w:rsid w:val="00FB202E"/>
    <w:rsid w:val="00FF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6011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2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8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D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1F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5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ECB"/>
  </w:style>
  <w:style w:type="paragraph" w:styleId="Footer">
    <w:name w:val="footer"/>
    <w:basedOn w:val="Normal"/>
    <w:link w:val="FooterChar"/>
    <w:uiPriority w:val="99"/>
    <w:unhideWhenUsed/>
    <w:rsid w:val="00025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ECB"/>
  </w:style>
  <w:style w:type="paragraph" w:styleId="BalloonText">
    <w:name w:val="Balloon Text"/>
    <w:basedOn w:val="Normal"/>
    <w:link w:val="BalloonTextChar"/>
    <w:uiPriority w:val="99"/>
    <w:semiHidden/>
    <w:unhideWhenUsed/>
    <w:rsid w:val="003D2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6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308E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202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ighwire-cite-published-year">
    <w:name w:val="highwire-cite-published-year"/>
    <w:basedOn w:val="DefaultParagraphFont"/>
    <w:rsid w:val="00FB202E"/>
  </w:style>
  <w:style w:type="character" w:customStyle="1" w:styleId="apple-converted-space">
    <w:name w:val="apple-converted-space"/>
    <w:basedOn w:val="DefaultParagraphFont"/>
    <w:rsid w:val="00FB202E"/>
  </w:style>
  <w:style w:type="character" w:customStyle="1" w:styleId="highwire-cite-volume-issue">
    <w:name w:val="highwire-cite-volume-issue"/>
    <w:basedOn w:val="DefaultParagraphFont"/>
    <w:rsid w:val="00FB202E"/>
  </w:style>
  <w:style w:type="character" w:customStyle="1" w:styleId="highwire-cite-doi">
    <w:name w:val="highwire-cite-doi"/>
    <w:basedOn w:val="DefaultParagraphFont"/>
    <w:rsid w:val="00FB202E"/>
  </w:style>
  <w:style w:type="character" w:customStyle="1" w:styleId="name">
    <w:name w:val="name"/>
    <w:basedOn w:val="DefaultParagraphFont"/>
    <w:rsid w:val="00721CEE"/>
  </w:style>
  <w:style w:type="character" w:customStyle="1" w:styleId="Heading2Char">
    <w:name w:val="Heading 2 Char"/>
    <w:basedOn w:val="DefaultParagraphFont"/>
    <w:link w:val="Heading2"/>
    <w:uiPriority w:val="9"/>
    <w:rsid w:val="007538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753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rrespondence">
    <w:name w:val="correspondence"/>
    <w:basedOn w:val="Normal"/>
    <w:rsid w:val="00753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b">
    <w:name w:val="mb"/>
    <w:basedOn w:val="DefaultParagraphFont"/>
    <w:rsid w:val="00753808"/>
  </w:style>
  <w:style w:type="character" w:styleId="CommentReference">
    <w:name w:val="annotation reference"/>
    <w:basedOn w:val="DefaultParagraphFont"/>
    <w:uiPriority w:val="99"/>
    <w:semiHidden/>
    <w:unhideWhenUsed/>
    <w:rsid w:val="00D43C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C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C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CC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2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8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D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1F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5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ECB"/>
  </w:style>
  <w:style w:type="paragraph" w:styleId="Footer">
    <w:name w:val="footer"/>
    <w:basedOn w:val="Normal"/>
    <w:link w:val="FooterChar"/>
    <w:uiPriority w:val="99"/>
    <w:unhideWhenUsed/>
    <w:rsid w:val="00025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ECB"/>
  </w:style>
  <w:style w:type="paragraph" w:styleId="BalloonText">
    <w:name w:val="Balloon Text"/>
    <w:basedOn w:val="Normal"/>
    <w:link w:val="BalloonTextChar"/>
    <w:uiPriority w:val="99"/>
    <w:semiHidden/>
    <w:unhideWhenUsed/>
    <w:rsid w:val="003D2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6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308E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202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ighwire-cite-published-year">
    <w:name w:val="highwire-cite-published-year"/>
    <w:basedOn w:val="DefaultParagraphFont"/>
    <w:rsid w:val="00FB202E"/>
  </w:style>
  <w:style w:type="character" w:customStyle="1" w:styleId="apple-converted-space">
    <w:name w:val="apple-converted-space"/>
    <w:basedOn w:val="DefaultParagraphFont"/>
    <w:rsid w:val="00FB202E"/>
  </w:style>
  <w:style w:type="character" w:customStyle="1" w:styleId="highwire-cite-volume-issue">
    <w:name w:val="highwire-cite-volume-issue"/>
    <w:basedOn w:val="DefaultParagraphFont"/>
    <w:rsid w:val="00FB202E"/>
  </w:style>
  <w:style w:type="character" w:customStyle="1" w:styleId="highwire-cite-doi">
    <w:name w:val="highwire-cite-doi"/>
    <w:basedOn w:val="DefaultParagraphFont"/>
    <w:rsid w:val="00FB202E"/>
  </w:style>
  <w:style w:type="character" w:customStyle="1" w:styleId="name">
    <w:name w:val="name"/>
    <w:basedOn w:val="DefaultParagraphFont"/>
    <w:rsid w:val="00721CEE"/>
  </w:style>
  <w:style w:type="character" w:customStyle="1" w:styleId="Heading2Char">
    <w:name w:val="Heading 2 Char"/>
    <w:basedOn w:val="DefaultParagraphFont"/>
    <w:link w:val="Heading2"/>
    <w:uiPriority w:val="9"/>
    <w:rsid w:val="007538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753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rrespondence">
    <w:name w:val="correspondence"/>
    <w:basedOn w:val="Normal"/>
    <w:rsid w:val="00753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b">
    <w:name w:val="mb"/>
    <w:basedOn w:val="DefaultParagraphFont"/>
    <w:rsid w:val="00753808"/>
  </w:style>
  <w:style w:type="character" w:styleId="CommentReference">
    <w:name w:val="annotation reference"/>
    <w:basedOn w:val="DefaultParagraphFont"/>
    <w:uiPriority w:val="99"/>
    <w:semiHidden/>
    <w:unhideWhenUsed/>
    <w:rsid w:val="00D43C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C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C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C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084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7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2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321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10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2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69258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84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5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710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5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93/annonc/mdv590" TargetMode="External"/><Relationship Id="rId13" Type="http://schemas.openxmlformats.org/officeDocument/2006/relationships/hyperlink" Target="https://doi.org/10.1093/ije/dyr008" TargetMode="External"/><Relationship Id="rId18" Type="http://schemas.openxmlformats.org/officeDocument/2006/relationships/hyperlink" Target="http://dx.doi.org/10.1016/S1470-2045(15)00205-3" TargetMode="External"/><Relationship Id="rId26" Type="http://schemas.openxmlformats.org/officeDocument/2006/relationships/hyperlink" Target="http://dx.doi.org/10.1038/nrclinonc.2016.15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i.org/10.1038/nrclinonc.2016.109" TargetMode="External"/><Relationship Id="rId34" Type="http://schemas.openxmlformats.org/officeDocument/2006/relationships/hyperlink" Target="https://doi.org/10.1038/bjc.2014.3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x.doi.org/10.1016/S0140-6736(15)01154-X" TargetMode="External"/><Relationship Id="rId17" Type="http://schemas.openxmlformats.org/officeDocument/2006/relationships/hyperlink" Target="https://doi.org/10.1038/bjc.2014.596" TargetMode="External"/><Relationship Id="rId25" Type="http://schemas.openxmlformats.org/officeDocument/2006/relationships/hyperlink" Target="https://doi.org/10.1136/bmj.i5515" TargetMode="External"/><Relationship Id="rId33" Type="http://schemas.openxmlformats.org/officeDocument/2006/relationships/hyperlink" Target="https://doi.org/10.1038/bjc.2012.408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i.org/10.1038/bjc.2013.684" TargetMode="External"/><Relationship Id="rId20" Type="http://schemas.openxmlformats.org/officeDocument/2006/relationships/hyperlink" Target="https://doi.org/10.1038/bjc.2015.48" TargetMode="External"/><Relationship Id="rId29" Type="http://schemas.openxmlformats.org/officeDocument/2006/relationships/hyperlink" Target="https://www.ncbi.nlm.nih.gov/pubmed/?term=Ives%20A%5BAuthor%5D&amp;cauthor=true&amp;cauthor_uid=2299661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x.doi.org/10.1016/S1470-2045(15)00205-3" TargetMode="External"/><Relationship Id="rId24" Type="http://schemas.openxmlformats.org/officeDocument/2006/relationships/hyperlink" Target="https://doi.org/10.1038/sj.bjc.6605402" TargetMode="External"/><Relationship Id="rId32" Type="http://schemas.openxmlformats.org/officeDocument/2006/relationships/hyperlink" Target="https://www.ncbi.nlm.nih.gov/pubmed/22996611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38/bjc.2012.542" TargetMode="External"/><Relationship Id="rId23" Type="http://schemas.openxmlformats.org/officeDocument/2006/relationships/hyperlink" Target="https://www.ncbi.nlm.nih.gov/pubmed/19956156" TargetMode="External"/><Relationship Id="rId28" Type="http://schemas.openxmlformats.org/officeDocument/2006/relationships/hyperlink" Target="https://www.ncbi.nlm.nih.gov/pubmed/?term=McPhail%20S%5BAuthor%5D&amp;cauthor=true&amp;cauthor_uid=22996611" TargetMode="External"/><Relationship Id="rId36" Type="http://schemas.openxmlformats.org/officeDocument/2006/relationships/footer" Target="footer1.xml"/><Relationship Id="rId10" Type="http://schemas.openxmlformats.org/officeDocument/2006/relationships/hyperlink" Target="http://dx.doi.org/10.1016/" TargetMode="External"/><Relationship Id="rId19" Type="http://schemas.openxmlformats.org/officeDocument/2006/relationships/hyperlink" Target="https://www.nice.org.uk/guidance/ng12" TargetMode="External"/><Relationship Id="rId31" Type="http://schemas.openxmlformats.org/officeDocument/2006/relationships/hyperlink" Target="https://www.ncbi.nlm.nih.gov/pubmed/?term=Richards%20M%5BAuthor%5D&amp;cauthor=true&amp;cauthor_uid=229966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159/000447552" TargetMode="External"/><Relationship Id="rId14" Type="http://schemas.openxmlformats.org/officeDocument/2006/relationships/hyperlink" Target="http://dx.doi.org/10.1371/journal.pone.0135027" TargetMode="External"/><Relationship Id="rId22" Type="http://schemas.openxmlformats.org/officeDocument/2006/relationships/hyperlink" Target="https://www.ncbi.nlm.nih.gov/pubmed/?term=Richards%20MA%5BAuthor%5D&amp;cauthor=true&amp;cauthor_uid=19956156" TargetMode="External"/><Relationship Id="rId27" Type="http://schemas.openxmlformats.org/officeDocument/2006/relationships/hyperlink" Target="https://www.ncbi.nlm.nih.gov/pubmed/?term=Elliss-Brookes%20L%5BAuthor%5D&amp;cauthor=true&amp;cauthor_uid=22996611" TargetMode="External"/><Relationship Id="rId30" Type="http://schemas.openxmlformats.org/officeDocument/2006/relationships/hyperlink" Target="https://www.ncbi.nlm.nih.gov/pubmed/?term=Shelton%20J%5BAuthor%5D&amp;cauthor=true&amp;cauthor_uid=22996611" TargetMode="External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hssmb</dc:creator>
  <cp:lastModifiedBy>Dewey Rosemary</cp:lastModifiedBy>
  <cp:revision>3</cp:revision>
  <cp:lastPrinted>2017-02-01T09:13:00Z</cp:lastPrinted>
  <dcterms:created xsi:type="dcterms:W3CDTF">2017-01-31T16:37:00Z</dcterms:created>
  <dcterms:modified xsi:type="dcterms:W3CDTF">2017-02-01T09:34:00Z</dcterms:modified>
</cp:coreProperties>
</file>